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Speech disability dataset shortlist</w:t>
      </w:r>
    </w:p>
    <w:p>
      <w:pPr/>
      <w:r>
        <w:t>DEED and THE-POSSD are the two verified direct matches; the other entries below serve different populations or analysis goals.</w:t>
      </w:r>
    </w:p>
    <w:p>
      <w:pPr/>
      <w:r>
        <w:t>Checked October 15, 2026. A public description or download link does not necessarily provide unrestricted access to participant recordings. No full disability dataset is locally available yet.</w:t>
      </w:r>
    </w:p>
    <w:p>
      <w:pPr>
        <w:pStyle w:val="Heading1"/>
      </w:pPr>
      <w:r>
        <w:t>Dataset comparison</w:t>
      </w:r>
    </w:p>
    <w:tbl>
      <w:tblPr>
        <w:tblW w:type="auto" w:w="0"/>
        <w:tblLayout w:type="fixed"/>
        <w:tblLook w:firstColumn="1" w:firstRow="1" w:lastColumn="0" w:lastRow="0" w:noHBand="0" w:noVBand="1" w:val="04A0"/>
      </w:tblPr>
      <w:tblGrid>
        <w:gridCol w:w="2448"/>
        <w:gridCol w:w="3888"/>
        <w:gridCol w:w="3744"/>
      </w:tblGrid>
      <w:tr>
        <w:trPr>
          <w:cantSplit/>
          <w:tblHeader/>
        </w:trPr>
        <w:tc>
          <w:tcPr>
            <w:tcW w:type="dxa" w:w="2448"/>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shd w:fill="E5EDF4"/>
          </w:tcPr>
          <w:p>
            <w:pPr>
              <w:spacing w:after="40" w:line="252" w:lineRule="auto"/>
            </w:pPr>
            <w:r>
              <w:rPr>
                <w:b/>
                <w:sz w:val="20"/>
              </w:rPr>
              <w:t>Dataset</w:t>
            </w:r>
          </w:p>
        </w:tc>
        <w:tc>
          <w:tcPr>
            <w:tcW w:type="dxa" w:w="3888"/>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shd w:fill="E5EDF4"/>
          </w:tcPr>
          <w:p>
            <w:pPr>
              <w:spacing w:after="40" w:line="252" w:lineRule="auto"/>
            </w:pPr>
            <w:r>
              <w:rPr>
                <w:b/>
                <w:sz w:val="20"/>
              </w:rPr>
              <w:t>Use in this project</w:t>
            </w:r>
          </w:p>
        </w:tc>
        <w:tc>
          <w:tcPr>
            <w:tcW w:type="dxa" w:w="3744"/>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shd w:fill="E5EDF4"/>
          </w:tcPr>
          <w:p>
            <w:pPr>
              <w:spacing w:after="40" w:line="252" w:lineRule="auto"/>
            </w:pPr>
            <w:r>
              <w:rPr>
                <w:b/>
                <w:sz w:val="20"/>
              </w:rPr>
              <w:t>Access</w:t>
            </w:r>
          </w:p>
        </w:tc>
      </w:tr>
      <w:tr>
        <w:trPr>
          <w:cantSplit/>
        </w:trPr>
        <w:tc>
          <w:tcPr>
            <w:tcW w:type="dxa" w:w="2448"/>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1. DEED</w:t>
            </w:r>
          </w:p>
        </w:tc>
        <w:tc>
          <w:tcPr>
            <w:tcW w:type="dxa" w:w="3888"/>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Direct match for dysarthria and emotion</w:t>
            </w:r>
          </w:p>
        </w:tc>
        <w:tc>
          <w:tcPr>
            <w:tcW w:type="dxa" w:w="3744"/>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Research request</w:t>
            </w:r>
          </w:p>
        </w:tc>
      </w:tr>
      <w:tr>
        <w:trPr>
          <w:cantSplit/>
        </w:trPr>
        <w:tc>
          <w:tcPr>
            <w:tcW w:type="dxa" w:w="2448"/>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2. THE-POSSD</w:t>
            </w:r>
          </w:p>
        </w:tc>
        <w:tc>
          <w:tcPr>
            <w:tcW w:type="dxa" w:w="3888"/>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Direct match for post-stroke dysarthria and emotion</w:t>
            </w:r>
          </w:p>
        </w:tc>
        <w:tc>
          <w:tcPr>
            <w:tcW w:type="dxa" w:w="3744"/>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Author request</w:t>
            </w:r>
          </w:p>
        </w:tc>
      </w:tr>
      <w:tr>
        <w:trPr>
          <w:cantSplit/>
        </w:trPr>
        <w:tc>
          <w:tcPr>
            <w:tcW w:type="dxa" w:w="2448"/>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3. YouTube Facial Palsy (YFP)</w:t>
            </w:r>
          </w:p>
        </w:tc>
        <w:tc>
          <w:tcPr>
            <w:tcW w:type="dxa" w:w="3888"/>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Facial movement analysis; emotion labels absent</w:t>
            </w:r>
          </w:p>
        </w:tc>
        <w:tc>
          <w:tcPr>
            <w:tcW w:type="dxa" w:w="3744"/>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Institutional request and password</w:t>
            </w:r>
          </w:p>
        </w:tc>
      </w:tr>
      <w:tr>
        <w:trPr>
          <w:cantSplit/>
        </w:trPr>
        <w:tc>
          <w:tcPr>
            <w:tcW w:type="dxa" w:w="2448"/>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4. MEEI Facial Palsy Standard Set</w:t>
            </w:r>
          </w:p>
        </w:tc>
        <w:tc>
          <w:tcPr>
            <w:tcW w:type="dxa" w:w="3888"/>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Facial movement analysis; clinical scales</w:t>
            </w:r>
          </w:p>
        </w:tc>
        <w:tc>
          <w:tcPr>
            <w:tcW w:type="dxa" w:w="3744"/>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Acquisition terms to verify</w:t>
            </w:r>
          </w:p>
        </w:tc>
      </w:tr>
      <w:tr>
        <w:trPr>
          <w:cantSplit/>
        </w:trPr>
        <w:tc>
          <w:tcPr>
            <w:tcW w:type="dxa" w:w="2448"/>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5. MuDERI</w:t>
            </w:r>
          </w:p>
        </w:tc>
        <w:tc>
          <w:tcPr>
            <w:tcW w:type="dxa" w:w="3888"/>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Affect research; speech-disability status unconfirmed</w:t>
            </w:r>
          </w:p>
        </w:tc>
        <w:tc>
          <w:tcPr>
            <w:tcW w:type="dxa" w:w="3744"/>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Access route to verify</w:t>
            </w:r>
          </w:p>
        </w:tc>
      </w:tr>
      <w:tr>
        <w:trPr>
          <w:cantSplit/>
        </w:trPr>
        <w:tc>
          <w:tcPr>
            <w:tcW w:type="dxa" w:w="2448"/>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6. TORGO</w:t>
            </w:r>
          </w:p>
        </w:tc>
        <w:tc>
          <w:tcPr>
            <w:tcW w:type="dxa" w:w="3888"/>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Audio/articulatory analysis; video excluded</w:t>
            </w:r>
          </w:p>
        </w:tc>
        <w:tc>
          <w:tcPr>
            <w:tcW w:type="dxa" w:w="3744"/>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Academic nonprofit download</w:t>
            </w:r>
          </w:p>
        </w:tc>
      </w:tr>
      <w:tr>
        <w:trPr>
          <w:cantSplit/>
        </w:trPr>
        <w:tc>
          <w:tcPr>
            <w:tcW w:type="dxa" w:w="2448"/>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7. UASpeech</w:t>
            </w:r>
          </w:p>
        </w:tc>
        <w:tc>
          <w:tcPr>
            <w:tcW w:type="dxa" w:w="3888"/>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Speech recognition; emotion labels unconfirmed</w:t>
            </w:r>
          </w:p>
        </w:tc>
        <w:tc>
          <w:tcPr>
            <w:tcW w:type="dxa" w:w="3744"/>
            <w:vAlign w:val="center"/>
            <w:tcBorders>
              <w:top w:val="single" w:sz="4" w:color="D9D9D9"/>
              <w:bottom w:val="single" w:sz="4" w:color="D9D9D9"/>
              <w:left w:val="single" w:sz="4" w:color="D9D9D9"/>
              <w:right w:val="single" w:sz="4" w:color="D9D9D9"/>
            </w:tcBorders>
            <w:tcMar>
              <w:top w:w="95" w:type="dxa"/>
              <w:bottom w:w="95" w:type="dxa"/>
              <w:left w:w="95" w:type="dxa"/>
              <w:right w:w="95" w:type="dxa"/>
            </w:tcMar>
          </w:tcPr>
          <w:p>
            <w:pPr>
              <w:spacing w:after="40" w:line="252" w:lineRule="auto"/>
            </w:pPr>
            <w:r>
              <w:rPr>
                <w:b w:val="0"/>
                <w:sz w:val="20"/>
              </w:rPr>
              <w:t>Academic/government request</w:t>
            </w:r>
          </w:p>
        </w:tc>
      </w:tr>
    </w:tbl>
    <w:p>
      <w:r>
        <w:br w:type="page"/>
      </w:r>
    </w:p>
    <w:p>
      <w:pPr>
        <w:pStyle w:val="Heading1"/>
      </w:pPr>
      <w:r>
        <w:t>Dataset profiles</w:t>
      </w:r>
    </w:p>
    <w:p>
      <w:pPr>
        <w:pStyle w:val="Heading2"/>
      </w:pPr>
      <w:r>
        <w:t>1 DEED</w:t>
      </w:r>
    </w:p>
    <w:p>
      <w:pPr>
        <w:keepNext/>
        <w:spacing w:after="80"/>
      </w:pPr>
      <w:r>
        <w:rPr>
          <w:b/>
        </w:rPr>
        <w:t xml:space="preserve">Population and modalities: </w:t>
      </w:r>
      <w:r>
        <w:t>British English audio and facial video from four dysarthric speakers (one with cerebral palsy and three with Parkinson’s disease), plus 21 typical speakers. All four dysarthric speakers have video; one typical speaker has audio only.</w:t>
      </w:r>
    </w:p>
    <w:p>
      <w:pPr>
        <w:keepNext/>
        <w:spacing w:after="80"/>
      </w:pPr>
      <w:r>
        <w:rPr>
          <w:b/>
        </w:rPr>
        <w:t xml:space="preserve">Labels and fit: </w:t>
      </w:r>
      <w:r>
        <w:t>Happiness, sadness, anger, surprise, fear, disgust and neutral, elicited using a controlled recording protocol. DEED is the first choice for an exploratory speech and facial-expression study. Four dysarthric speakers limit conclusions about generalization.</w:t>
      </w:r>
    </w:p>
    <w:p>
      <w:pPr>
        <w:keepNext w:val="0"/>
        <w:spacing w:after="80"/>
      </w:pPr>
      <w:r>
        <w:rPr>
          <w:b/>
        </w:rPr>
        <w:t xml:space="preserve">Access and local status: </w:t>
      </w:r>
      <w:r>
        <w:t>Research access by email request; not downloaded.</w:t>
      </w:r>
    </w:p>
    <w:p>
      <w:pPr>
        <w:pStyle w:val="Heading2"/>
      </w:pPr>
      <w:r>
        <w:t>2 THE-POSSD</w:t>
      </w:r>
    </w:p>
    <w:p>
      <w:pPr>
        <w:keepNext/>
        <w:spacing w:after="80"/>
      </w:pPr>
      <w:r>
        <w:rPr>
          <w:b/>
        </w:rPr>
        <w:t xml:space="preserve">Population and modalities: </w:t>
      </w:r>
      <w:r>
        <w:t>Post-stroke motor dysarthria; acoustic, glottal, facial video</w:t>
      </w:r>
    </w:p>
    <w:p>
      <w:pPr>
        <w:keepNext/>
        <w:spacing w:after="80"/>
      </w:pPr>
      <w:r>
        <w:rPr>
          <w:b/>
        </w:rPr>
        <w:t xml:space="preserve">Labels and fit: </w:t>
      </w:r>
      <w:r>
        <w:t>Happy, angry, sad, neutral elicitation; clinical severity. Relevant multimodal extension.</w:t>
      </w:r>
    </w:p>
    <w:p>
      <w:pPr>
        <w:keepNext w:val="0"/>
        <w:spacing w:after="80"/>
      </w:pPr>
      <w:r>
        <w:rPr>
          <w:b/>
        </w:rPr>
        <w:t xml:space="preserve">Access and local status: </w:t>
      </w:r>
      <w:r>
        <w:t>Request THE-POSSD through duanshufei@tyut.edu.cn. Clinical recordings are restricted for privacy and ethical reasons. Confirm the current release, licence, modalities and annotations. No recordings have been downloaded.</w:t>
      </w:r>
    </w:p>
    <w:p>
      <w:pPr>
        <w:pStyle w:val="Heading2"/>
      </w:pPr>
      <w:r>
        <w:t>3 YouTube Facial Palsy (YFP)</w:t>
      </w:r>
    </w:p>
    <w:p>
      <w:pPr>
        <w:keepNext/>
        <w:spacing w:after="80"/>
      </w:pPr>
      <w:r>
        <w:rPr>
          <w:b/>
        </w:rPr>
        <w:t xml:space="preserve">Population and modalities: </w:t>
      </w:r>
      <w:r>
        <w:t>Facial-palsy videos/frame sequences; speech-disability status not established</w:t>
      </w:r>
    </w:p>
    <w:p>
      <w:pPr>
        <w:keepNext/>
        <w:spacing w:after="80"/>
      </w:pPr>
      <w:r>
        <w:rPr>
          <w:b/>
        </w:rPr>
        <w:t xml:space="preserve">Labels and fit: </w:t>
      </w:r>
      <w:r>
        <w:t>Clinician palsy regions, eye/mouth classes and intensity; no documented emotion ground truth. Useful for movement and failure analysis.</w:t>
      </w:r>
    </w:p>
    <w:p>
      <w:pPr>
        <w:keepNext w:val="0"/>
        <w:spacing w:after="80"/>
      </w:pPr>
      <w:r>
        <w:rPr>
          <w:b/>
        </w:rPr>
        <w:t xml:space="preserve">Access and local status: </w:t>
      </w:r>
      <w:r>
        <w:t>Documentation and sample collage cloned; full archive requires an institutional request/password.</w:t>
      </w:r>
    </w:p>
    <w:p>
      <w:pPr>
        <w:pStyle w:val="Heading2"/>
      </w:pPr>
      <w:r>
        <w:t>4 MEEI Facial Palsy Standard Set</w:t>
      </w:r>
    </w:p>
    <w:p>
      <w:pPr>
        <w:keepNext/>
        <w:spacing w:after="80"/>
      </w:pPr>
      <w:r>
        <w:rPr>
          <w:b/>
        </w:rPr>
        <w:t xml:space="preserve">Population and modalities: </w:t>
      </w:r>
      <w:r>
        <w:t>Facial palsy and controls; standardized photos/video</w:t>
      </w:r>
    </w:p>
    <w:p>
      <w:pPr>
        <w:keepNext/>
        <w:spacing w:after="80"/>
      </w:pPr>
      <w:r>
        <w:rPr>
          <w:b/>
        </w:rPr>
        <w:t xml:space="preserve">Labels and fit: </w:t>
      </w:r>
      <w:r>
        <w:t>Clinical facial-function scales, not reference felt-emotion labels; speech-disability status not established.</w:t>
      </w:r>
    </w:p>
    <w:p>
      <w:pPr>
        <w:keepNext w:val="0"/>
        <w:spacing w:after="80"/>
      </w:pPr>
      <w:r>
        <w:rPr>
          <w:b/>
        </w:rPr>
        <w:t xml:space="preserve">Access and local status: </w:t>
      </w:r>
      <w:r>
        <w:t>Publication located; current authorized acquisition endpoint/terms still to verify.</w:t>
      </w:r>
    </w:p>
    <w:p>
      <w:pPr>
        <w:pStyle w:val="Heading2"/>
      </w:pPr>
      <w:r>
        <w:t>5 MuDERI</w:t>
      </w:r>
    </w:p>
    <w:p>
      <w:pPr>
        <w:keepNext/>
        <w:spacing w:after="80"/>
      </w:pPr>
      <w:r>
        <w:rPr>
          <w:b/>
        </w:rPr>
        <w:t xml:space="preserve">Population and modalities: </w:t>
      </w:r>
      <w:r>
        <w:t>Intellectual disability; audiovisual, RGB-D and physiological recordings</w:t>
      </w:r>
    </w:p>
    <w:p>
      <w:pPr>
        <w:keepNext/>
        <w:spacing w:after="80"/>
      </w:pPr>
      <w:r>
        <w:rPr>
          <w:b/>
        </w:rPr>
        <w:t xml:space="preserve">Labels and fit: </w:t>
      </w:r>
      <w:r>
        <w:t>Affective annotations; speech/motor-disability inclusion not established. Secondary population.</w:t>
      </w:r>
    </w:p>
    <w:p>
      <w:pPr>
        <w:keepNext w:val="0"/>
        <w:spacing w:after="80"/>
      </w:pPr>
      <w:r>
        <w:rPr>
          <w:b/>
        </w:rPr>
        <w:t xml:space="preserve">Access and local status: </w:t>
      </w:r>
      <w:r>
        <w:t>Dataset landing page found; direct page retrieval failed. Access route needs verification.</w:t>
      </w:r>
    </w:p>
    <w:p>
      <w:pPr>
        <w:pStyle w:val="Heading2"/>
      </w:pPr>
      <w:r>
        <w:t>6 TORGO</w:t>
      </w:r>
    </w:p>
    <w:p>
      <w:pPr>
        <w:keepNext/>
        <w:spacing w:after="80"/>
      </w:pPr>
      <w:r>
        <w:rPr>
          <w:b/>
        </w:rPr>
        <w:t xml:space="preserve">Population and modalities: </w:t>
      </w:r>
      <w:r>
        <w:t>CP/ALS-related dysarthria and controls; audio and 3D articulatory recordings</w:t>
      </w:r>
    </w:p>
    <w:p>
      <w:pPr>
        <w:keepNext/>
        <w:spacing w:after="80"/>
      </w:pPr>
      <w:r>
        <w:rPr>
          <w:b/>
        </w:rPr>
        <w:t xml:space="preserve">Labels and fit: </w:t>
      </w:r>
      <w:r>
        <w:t>Speech prompts/articulation; no documented emotion labels. Audio robustness/extraction only.</w:t>
      </w:r>
    </w:p>
    <w:p>
      <w:pPr>
        <w:keepNext w:val="0"/>
        <w:spacing w:after="80"/>
      </w:pPr>
      <w:r>
        <w:rPr>
          <w:b/>
        </w:rPr>
        <w:t xml:space="preserve">Access and local status: </w:t>
      </w:r>
      <w:r>
        <w:t>Academic nonprofit download offered; full release about 18 GB uncompressed. Not downloaded because it does not supply the requested video/emotion benchmark.</w:t>
      </w:r>
    </w:p>
    <w:p>
      <w:pPr>
        <w:pStyle w:val="Heading2"/>
      </w:pPr>
      <w:r>
        <w:t>7 UASpeech</w:t>
      </w:r>
    </w:p>
    <w:p>
      <w:pPr>
        <w:keepNext/>
        <w:spacing w:after="80"/>
      </w:pPr>
      <w:r>
        <w:rPr>
          <w:b/>
        </w:rPr>
        <w:t xml:space="preserve">Population and modalities: </w:t>
      </w:r>
      <w:r>
        <w:t>Dysarthria associated with CP; acoustic corpus</w:t>
      </w:r>
    </w:p>
    <w:p>
      <w:pPr>
        <w:keepNext/>
        <w:spacing w:after="80"/>
      </w:pPr>
      <w:r>
        <w:rPr>
          <w:b/>
        </w:rPr>
        <w:t xml:space="preserve">Labels and fit: </w:t>
      </w:r>
      <w:r>
        <w:t>Isolated-word speech/ASR resource; emotion labels not established. Confirm supplied modalities with owner.</w:t>
      </w:r>
    </w:p>
    <w:p>
      <w:pPr>
        <w:keepNext w:val="0"/>
        <w:spacing w:after="80"/>
      </w:pPr>
      <w:r>
        <w:rPr>
          <w:b/>
        </w:rPr>
        <w:t xml:space="preserve">Access and local status: </w:t>
      </w:r>
      <w:r>
        <w:t>Academic/government researchers only; request required; no redistribution/commercial use. Not downloaded.</w:t>
      </w:r>
    </w:p>
    <w:p>
      <w:pPr>
        <w:pStyle w:val="Heading1"/>
      </w:pPr>
      <w:r>
        <w:t>Source details and decisions</w:t>
      </w:r>
    </w:p>
    <w:p>
      <w:pPr/>
      <w:r/>
      <w:r>
        <w:rPr>
          <w:b/>
        </w:rPr>
        <w:t>DEED.</w:t>
      </w:r>
      <w:r>
        <w:t xml:space="preserve"> The </w:t>
      </w:r>
      <w:hyperlink r:id="rId9">
        <w:r>
          <w:rPr>
            <w:color w:val="225A81"/>
          </w:rPr>
          <w:t>official project page</w:t>
        </w:r>
      </w:hyperlink>
      <w:r>
        <w:t xml:space="preserve"> confirms audio/video, seven elicited categories, four dysarthric speakers and 21 typical speakers. The </w:t>
      </w:r>
      <w:hyperlink r:id="rId10">
        <w:r>
          <w:rPr>
            <w:color w:val="225A81"/>
          </w:rPr>
          <w:t>original paper</w:t>
        </w:r>
      </w:hyperlink>
      <w:r>
        <w:t xml:space="preserve"> specifies 320 dysarthric and 1,680 typical utterances, filename label encoding, and request-based access to confidential data. Request via </w:t>
      </w:r>
      <w:r>
        <w:t>dysarthricdeed@gmail.com</w:t>
      </w:r>
      <w:r>
        <w:t>; ask which modalities and annotations are in the current release and obtain the exact licence. Elicited expression labels are not direct evidence of internal emotional state.</w:t>
      </w:r>
    </w:p>
    <w:p>
      <w:pPr/>
      <w:r>
        <w:t>Recording and label details: The original paper describes 80 utterances per speaker, including 20 neutral utterances and ten for each of the six other categories. Audio is 16 kHz mono WAV; video is MOV at 25 frames per second. Filenames encode emotion, sentence number and speaker ID, enabling a manifest that links labels and participants.</w:t>
      </w:r>
      <w:r>
        <w:t xml:space="preserve"> </w:t>
      </w:r>
      <w:hyperlink r:id="rId10">
        <w:r>
          <w:rPr>
            <w:color w:val="225A81"/>
          </w:rPr>
          <w:t>Original DEED paper</w:t>
        </w:r>
      </w:hyperlink>
    </w:p>
    <w:p>
      <w:pPr/>
      <w:r>
        <w:t>Evaluation limitations: The paper’s reported emotion validation uses audio. Those results do not establish facial-video accuracy. Use the same eligible clips for audio/video comparisons, account for the typical speaker without video, and report results per dysarthric participant. Elicitation categories describe the study condition rather than proving the participant’s internal emotional state.</w:t>
      </w:r>
    </w:p>
    <w:p>
      <w:pPr/>
      <w:r/>
      <w:r>
        <w:rPr>
          <w:b/>
        </w:rPr>
        <w:t>THE-POSSD.</w:t>
      </w:r>
      <w:r>
        <w:t xml:space="preserve"> The </w:t>
      </w:r>
      <w:hyperlink r:id="rId11">
        <w:r>
          <w:rPr>
            <w:color w:val="225A81"/>
          </w:rPr>
          <w:t>primary study</w:t>
        </w:r>
      </w:hyperlink>
      <w:r>
        <w:t xml:space="preserve"> reports a video analysis subset of 35 patients and 25 controls, with four emotion conditions and clinical severity. It also mentions a larger collection elsewhere; verify release-specific counts. Recordings are available on request because of privacy/ethical restrictions. The study's characterization of DEED conflicts with DEED's own original description; use the original DEED sources to establish DEED's emotional content.</w:t>
      </w:r>
    </w:p>
    <w:p>
      <w:pPr/>
      <w:r>
        <w:t>Release and annotation details: The original database paper reports 39 patients and 29 controls, whereas the 2026 video analysis uses 35 patients and 25 controls. These counts refer to different study scopes. Confirm the participant inventory in the supplied release rather than combining the totals.</w:t>
      </w:r>
      <w:r>
        <w:t xml:space="preserve"> </w:t>
      </w:r>
      <w:hyperlink r:id="rId18">
        <w:r>
          <w:rPr>
            <w:color w:val="225A81"/>
          </w:rPr>
          <w:t>Original database paper</w:t>
        </w:r>
      </w:hyperlink>
    </w:p>
    <w:p>
      <w:pPr/>
      <w:r>
        <w:t>Label limitations: Confirm whether available emotion labels represent elicitation conditions, observer ratings or self-report. The later study generates facial action-unit annotations using a pretrained model; these are not independent human emotion ground truth and should not be used as such.</w:t>
      </w:r>
      <w:r>
        <w:t xml:space="preserve"> </w:t>
      </w:r>
      <w:hyperlink r:id="rId11">
        <w:r>
          <w:rPr>
            <w:color w:val="225A81"/>
          </w:rPr>
          <w:t>2026 video study</w:t>
        </w:r>
      </w:hyperlink>
    </w:p>
    <w:p>
      <w:pPr/>
      <w:r/>
      <w:r>
        <w:rPr>
          <w:b/>
        </w:rPr>
        <w:t>YFP.</w:t>
      </w:r>
      <w:r>
        <w:t xml:space="preserve"> The </w:t>
      </w:r>
      <w:hyperlink r:id="rId12">
        <w:r>
          <w:rPr>
            <w:color w:val="225A81"/>
          </w:rPr>
          <w:t>owner repository</w:t>
        </w:r>
      </w:hyperlink>
      <w:r>
        <w:t xml:space="preserve"> describes 32 videos but inconsistently says 21 and 22 people; verify IDs before any split. It provides an institutional request form and password process, and prohibits redistribution and profit-making use. The clone contains </w:t>
      </w:r>
      <w:r>
        <w:t>README.md</w:t>
      </w:r>
      <w:r>
        <w:t xml:space="preserve">, </w:t>
      </w:r>
      <w:r>
        <w:t>RequestForms.txt</w:t>
      </w:r>
      <w:r>
        <w:t xml:space="preserve">, and a sample collage; it does not contain the full video/frame dataset. Request administrator </w:t>
      </w:r>
      <w:r>
        <w:t>avlabdba@gmail.com</w:t>
      </w:r>
      <w:r>
        <w:t xml:space="preserve"> and cc </w:t>
      </w:r>
      <w:r>
        <w:t>jison@mail.ntust.edu.tw</w:t>
      </w:r>
      <w:r>
        <w:t xml:space="preserve"> using a university account. Public YouTube origin is not a speech-disability or emotion annotation.</w:t>
      </w:r>
    </w:p>
    <w:p>
      <w:pPr/>
      <w:r/>
      <w:r>
        <w:rPr>
          <w:b/>
        </w:rPr>
        <w:t>MEEI.</w:t>
      </w:r>
      <w:r>
        <w:t xml:space="preserve"> The </w:t>
      </w:r>
      <w:hyperlink r:id="rId13">
        <w:r>
          <w:rPr>
            <w:color w:val="225A81"/>
          </w:rPr>
          <w:t>original paper</w:t>
        </w:r>
      </w:hyperlink>
      <w:r>
        <w:t xml:space="preserve"> describes 60 participants and facial-function grading. A </w:t>
      </w:r>
      <w:hyperlink r:id="rId14">
        <w:r>
          <w:rPr>
            <w:color w:val="225A81"/>
          </w:rPr>
          <w:t>later primary study</w:t>
        </w:r>
      </w:hyperlink>
      <w:r>
        <w:t xml:space="preserve"> describes 50 participants with palsy and ten controls in that standard set and identifies the Sir Charles Bell Society as its host. Confirm current download access and use conditions before acquisition.</w:t>
      </w:r>
    </w:p>
    <w:p>
      <w:pPr/>
      <w:r/>
      <w:r>
        <w:rPr>
          <w:b/>
        </w:rPr>
        <w:t>MuDERI.</w:t>
      </w:r>
      <w:r>
        <w:t xml:space="preserve"> The </w:t>
      </w:r>
      <w:hyperlink r:id="rId15">
        <w:r>
          <w:rPr>
            <w:color w:val="225A81"/>
          </w:rPr>
          <w:t>dataset owner's landing page</w:t>
        </w:r>
      </w:hyperlink>
      <w:r>
        <w:t xml:space="preserve"> was indexed with a description of 12 participants and multimodal affective recordings. Direct page access failed, so download availability and licence remain unverified. Do not describe this cohort as dysarthric without participant documentation.</w:t>
      </w:r>
    </w:p>
    <w:p>
      <w:pPr/>
      <w:r/>
      <w:r>
        <w:rPr>
          <w:b/>
        </w:rPr>
        <w:t>TORGO.</w:t>
      </w:r>
      <w:r>
        <w:t xml:space="preserve"> The </w:t>
      </w:r>
      <w:hyperlink r:id="rId16">
        <w:r>
          <w:rPr>
            <w:color w:val="225A81"/>
          </w:rPr>
          <w:t>official Toronto page</w:t>
        </w:r>
      </w:hyperlink>
      <w:r>
        <w:t xml:space="preserve"> offers acoustic/articulatory archives for academic nonprofit use. Crucially, all video data are excluded from the public release. </w:t>
      </w:r>
      <w:r>
        <w:t>VIDEO</w:t>
      </w:r>
      <w:r>
        <w:t xml:space="preserve"> markers indicate a recording setup, not downloadable facial videos. The release does not establish reference emotion annotations.</w:t>
      </w:r>
    </w:p>
    <w:p>
      <w:pPr/>
      <w:r/>
      <w:r>
        <w:rPr>
          <w:b/>
        </w:rPr>
        <w:t>UASpeech.</w:t>
      </w:r>
      <w:r>
        <w:t xml:space="preserve"> The </w:t>
      </w:r>
      <w:hyperlink r:id="rId17">
        <w:r>
          <w:rPr>
            <w:color w:val="225A81"/>
          </w:rPr>
          <w:t>current owner page</w:t>
        </w:r>
      </w:hyperlink>
      <w:r>
        <w:t xml:space="preserve"> describes 16 dysarthric speakers remaining in distribution, specifies access restrictions, and lists request requirements. Request through </w:t>
      </w:r>
      <w:r>
        <w:t>uaspeech-requests@lists.illinois.edu</w:t>
      </w:r>
      <w:r>
        <w:t>; provide affiliation, institutional email, intended use, delivery account and access period. Do not substitute a third-party mirror for the owner's current distribution.</w:t>
      </w:r>
    </w:p>
    <w:p>
      <w:pPr>
        <w:pStyle w:val="Heading1"/>
      </w:pPr>
      <w:r>
        <w:t>Local acquisition plan</w:t>
      </w:r>
    </w:p>
    <w:p>
      <w:pPr/>
      <w:r>
        <w:t xml:space="preserve">Create </w:t>
      </w:r>
      <w:r>
        <w:t>data/raw/deed/</w:t>
      </w:r>
      <w:r>
        <w:t xml:space="preserve"> first once access is granted. Keep the current dataset release's licence and participant metadata alongside the files, and record hashes, counts, available modalities, speaker IDs, and label provenance. Add other datasets according to the selected experiment. The existing repository demo media can verify installation, but provides no disability performance evidence.</w:t>
      </w:r>
    </w:p>
    <w:p>
      <w:pPr>
        <w:pStyle w:val="Heading1"/>
      </w:pPr>
      <w:r>
        <w:t>Additional emotion dataset leads</w:t>
      </w:r>
    </w:p>
    <w:p>
      <w:r>
        <w:t>emoHD: Emotional speech from 102 Huntington’s gene carriers and 35 controls, annotated for primary emotions, affective phenomena and activation. The cohort spans different disease stages, so dysarthria must be confirmed per participant before treating it as a speech-disability benchmark. Access requires a research partnership and data-transfer arrangements. This is an additional audio lead rather than a verified replacement for DEED.</w:t>
      </w:r>
      <w:r>
        <w:t xml:space="preserve"> </w:t>
      </w:r>
      <w:hyperlink r:id="rId19">
        <w:r>
          <w:rPr>
            <w:color w:val="225A81"/>
          </w:rPr>
          <w:t>emoHD primary study</w:t>
        </w:r>
      </w:hyperlink>
    </w:p>
    <w:p>
      <w:r>
        <w:t>Intelligent-Throat: A study involving five stroke patients with dysarthria uses neutral, relieved and frustrated categories. Emotion decoding uses carotid pulse signals, while silent speech uses throat vibrations. This resource requires a sensor-based model; it does not provide interchangeable input for the facial-expression baseline. The paper links a public archive, whose preview shows code and demonstration files; a complete patient emotion-data release has not been verified.</w:t>
      </w:r>
      <w:r>
        <w:t xml:space="preserve"> </w:t>
      </w:r>
      <w:hyperlink r:id="rId20">
        <w:r>
          <w:rPr>
            <w:color w:val="225A81"/>
          </w:rPr>
          <w:t>Intelligent-Throat study</w:t>
        </w:r>
      </w:hyperlink>
      <w:r>
        <w:t xml:space="preserve"> </w:t>
      </w:r>
      <w:hyperlink r:id="rId21">
        <w:r>
          <w:rPr>
            <w:color w:val="225A81"/>
          </w:rPr>
          <w:t>Public archive</w:t>
        </w:r>
      </w:hyperlink>
    </w:p>
    <w:p>
      <w:pPr>
        <w:pStyle w:val="Heading1"/>
      </w:pPr>
      <w:r>
        <w:t>Acquisition and evaluation requirements</w:t>
      </w:r>
    </w:p>
    <w:p>
      <w:r>
        <w:t>For DEED and THE-POSSD, obtain audio, video, emotion annotations, participant IDs, speech and motor severity metadata where available, the exact release version and licence. Check synchronisation, missing modalities and the provenance of each label. Keep dataset access approval separate from access to code or public descriptions.</w:t>
      </w:r>
    </w:p>
    <w:p>
      <w:r>
        <w:t>Evaluate a frozen model at clip and participant level, reporting face-detection coverage alongside classification metrics. Keep detection failures visible. When adapting or tuning a model, separate participants across training, validation and testing; adjacent frames from the same person must not cross those boundaries. Datasets without reference emotion labels can support descriptive extraction or failure analysis, but not a valid emotion-accuracy estimate.</w:t>
      </w:r>
    </w:p>
    <w:p>
      <w:r>
        <w:t>Recommended order: DEED first for a small, direct audio/video experiment; THE-POSSD second for a larger post-stroke comparison. No directly downloadable, fully verified dysarthric audio/video emotion benchmark was confirmed in the dataset review.</w:t>
      </w:r>
    </w:p>
    <w:p>
      <w:r>
        <w:br w:type="page"/>
      </w:r>
    </w:p>
    <w:p>
      <w:pPr>
        <w:pStyle w:val="Heading1"/>
      </w:pPr>
      <w:r>
        <w:t>Downloadable datasets and existing code</w:t>
      </w:r>
    </w:p>
    <w:p>
      <w:r>
        <w:t>Two downloadable resources can support different parts of the project: RAVDESS for labelled audio/video emotion evaluation, and TORGO for dysarthric audio processing. They do not replace DEED or THE-POSSD as datasets combining speech disability, video and emotion annotations. Dataset files have not been downloaded in this update.</w:t>
      </w:r>
    </w:p>
    <w:p>
      <w:pPr>
        <w:pStyle w:val="Heading2"/>
      </w:pPr>
      <w:r>
        <w:t>RAVDESS for immediate audio and video emotion testing</w:t>
      </w:r>
    </w:p>
    <w:p>
      <w:r>
        <w:t>RAVDESS contains 24 professional actors and 7,356 recordings across speech and song, with audio-only, video-only and audiovisual versions. Speech categories are neutral, calm, happy, sad, angry, fearful, disgust and surprised. It is suitable for validating face detection, clip aggregation, label parsing and audio/video evaluation before clinical data access is granted. Participants are not documented as a speech-disability cohort, so results cannot establish disability-specific performance.</w:t>
      </w:r>
      <w:r>
        <w:t xml:space="preserve"> </w:t>
      </w:r>
      <w:hyperlink r:id="rId22">
        <w:r>
          <w:rPr>
            <w:color w:val="225A81"/>
          </w:rPr>
          <w:t>Dataset description and licence</w:t>
        </w:r>
      </w:hyperlink>
      <w:r>
        <w:t xml:space="preserve"> </w:t>
      </w:r>
      <w:hyperlink r:id="rId23">
        <w:r>
          <w:rPr>
            <w:color w:val="225A81"/>
          </w:rPr>
          <w:t>Original study</w:t>
        </w:r>
      </w:hyperlink>
    </w:p>
    <w:p>
      <w:r>
        <w:t>Download: The original Zenodo record offers separate speech-video archives per actor and a speech-audio archive. Start with Video_Speech_Actor_01.zip (approximately 553 MB) to test the video pipeline, then extend to more actors for evaluation. Speech-video archives contain audiovisual and video-only versions of the same trials; select a single modality to avoid counting duplicates as independent samples. RAVDESS is released under CC BY-NC-SA 4.0 for noncommercial use with attribution and share-alike conditions.</w:t>
      </w:r>
      <w:r>
        <w:t xml:space="preserve"> </w:t>
      </w:r>
      <w:hyperlink r:id="rId24">
        <w:r>
          <w:rPr>
            <w:color w:val="225A81"/>
          </w:rPr>
          <w:t>Official RAVDESS downloads</w:t>
        </w:r>
      </w:hyperlink>
    </w:p>
    <w:p>
      <w:r>
        <w:t>Model compatibility: The current eight-class EmotiEffLib baseline includes contempt but no calm class. Define a mapping before scoring: evaluate the seven shared categories with the treatment of contempt predictions stated explicitly, and report calm as an unsupported target rather than silently relabelling it as neutral. Keep actors separate when tuning or adapting the model.</w:t>
      </w:r>
    </w:p>
    <w:p>
      <w:pPr>
        <w:pStyle w:val="Heading2"/>
      </w:pPr>
      <w:r>
        <w:t>TORGO for downloadable speech disability audio</w:t>
      </w:r>
    </w:p>
    <w:p>
      <w:r>
        <w:t>TORGO provides speech and 3D articulatory recordings from eight dysarthric speakers with cerebral palsy or ALS and seven controls. The official Toronto page links four archives: F.tar.bz2, M.tar.bz2, FC.tar.bz2 and MC.tar.bz2. The full release is approximately 18 GB uncompressed and is free for academic nonprofit use with required citation. Audio is 16 kHz mono WAV. Begin with one clinical archive for an audio-only inventory or robustness experiment.</w:t>
      </w:r>
      <w:r>
        <w:t xml:space="preserve"> </w:t>
      </w:r>
      <w:hyperlink r:id="rId16">
        <w:r>
          <w:rPr>
            <w:color w:val="225A81"/>
          </w:rPr>
          <w:t>Official TORGO download page and terms</w:t>
        </w:r>
      </w:hyperlink>
    </w:p>
    <w:p>
      <w:r>
        <w:t>Project limitation: TORGO’s public release excludes all video and does not document reference emotion labels. It cannot be input to the facial-expression model or used to calculate emotion accuracy. An audio emotion model may produce exploratory outputs, but those predictions are not ground truth.</w:t>
      </w:r>
    </w:p>
    <w:p>
      <w:pPr>
        <w:pStyle w:val="Heading2"/>
        <w:pageBreakBefore/>
      </w:pPr>
      <w:r>
        <w:t>Existing code repositories</w:t>
      </w:r>
    </w:p>
    <w:p>
      <w:r>
        <w:t>EmotiEffLib: Existing pretrained expression models with ONNX and PyTorch implementations for face crops and video workflows. Code is Apache-2.0. Already cloned at repos/EmotiEffLib; the ONNX baseline has passed the project’s demo-video test. Use this for RAVDESS facial-video predictions and, once access is granted, DEED video. The project wrapper is scripts/run_expression_baseline.py.</w:t>
      </w:r>
      <w:r>
        <w:t xml:space="preserve"> </w:t>
      </w:r>
      <w:hyperlink r:id="rId25">
        <w:r>
          <w:rPr>
            <w:color w:val="225A81"/>
          </w:rPr>
          <w:t>EmotiEffLib repository</w:t>
        </w:r>
      </w:hyperlink>
    </w:p>
    <w:p>
      <w:r>
        <w:t>OpenFace: Facial landmarks, head pose, eye gaze and action-unit extraction. Already cloned at repos/OpenFace; its native executable has not been compiled or run in this project. The cloned licence specifies academic/nonprofit noncommercial research use. Useful for measuring facial movement and detection failures alongside expression predictions, rather than treating action units as reference emotion labels.</w:t>
      </w:r>
      <w:r>
        <w:t xml:space="preserve"> </w:t>
      </w:r>
      <w:hyperlink r:id="rId26">
        <w:r>
          <w:rPr>
            <w:color w:val="225A81"/>
          </w:rPr>
          <w:t>OpenFace repository</w:t>
        </w:r>
      </w:hyperlink>
    </w:p>
    <w:p>
      <w:pPr>
        <w:keepLines/>
      </w:pPr>
      <w:r>
        <w:t>SpeechBrain: Existing speech-processing toolkit with a released wav2vec2 emotion-recognition checkpoint trained on IEMOCAP. The model expects 16 kHz single-channel speech and exposes file-level inference. This is a candidate audio comparison baseline for authorized DEED recordings or exploratory TORGO processing. It is not installed or cloned locally, and its performance on dysarthric speech is unverified. The linked checkpoint is labelled Apache-2.0; its output classes must be checked against the chosen dataset before evaluation.</w:t>
      </w:r>
      <w:r>
        <w:t xml:space="preserve"> </w:t>
      </w:r>
      <w:hyperlink r:id="rId27">
        <w:r>
          <w:rPr>
            <w:color w:val="225A81"/>
          </w:rPr>
          <w:t>SpeechBrain code</w:t>
        </w:r>
      </w:hyperlink>
      <w:r>
        <w:t xml:space="preserve"> </w:t>
      </w:r>
      <w:hyperlink r:id="rId28">
        <w:r>
          <w:rPr>
            <w:color w:val="225A81"/>
          </w:rPr>
          <w:t>Pretrained emotion model and inference example</w:t>
        </w:r>
      </w:hyperlink>
    </w:p>
    <w:p>
      <w:r>
        <w:t>Recommended next experiment: Use one RAVDESS speech-video actor archive to verify decoding and prediction output. For evaluation, expand across actors, use a documented class mapping and report failures. Pursue DEED or THE-POSSD access for the primary speech-disability emotion question; use TORGO only for the separately defined audio robustness task.</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ites.google.com/sheffield.ac.uk/deed" TargetMode="External"/><Relationship Id="rId10" Type="http://schemas.openxmlformats.org/officeDocument/2006/relationships/hyperlink" Target="https://journals.plos.org/plosone/article?id=10.1371/journal.pone.0287971" TargetMode="External"/><Relationship Id="rId11" Type="http://schemas.openxmlformats.org/officeDocument/2006/relationships/hyperlink" Target="https://pmc.ncbi.nlm.nih.gov/articles/PMC12944553/" TargetMode="External"/><Relationship Id="rId12" Type="http://schemas.openxmlformats.org/officeDocument/2006/relationships/hyperlink" Target="https://github.com/AvLab-CV/YouTube-Facial-Palsy-Database" TargetMode="External"/><Relationship Id="rId13" Type="http://schemas.openxmlformats.org/officeDocument/2006/relationships/hyperlink" Target="https://pubmed.ncbi.nlm.nih.gov/31021433/" TargetMode="External"/><Relationship Id="rId14" Type="http://schemas.openxmlformats.org/officeDocument/2006/relationships/hyperlink" Target="https://pmc.ncbi.nlm.nih.gov/articles/PMC12584918/" TargetMode="External"/><Relationship Id="rId15" Type="http://schemas.openxmlformats.org/officeDocument/2006/relationships/hyperlink" Target="https://institutorobotica.org/muderi-dataset/" TargetMode="External"/><Relationship Id="rId16" Type="http://schemas.openxmlformats.org/officeDocument/2006/relationships/hyperlink" Target="https://www.cs.toronto.edu/~complingweb/data/TORGO/torgo.html" TargetMode="External"/><Relationship Id="rId17" Type="http://schemas.openxmlformats.org/officeDocument/2006/relationships/hyperlink" Target="https://speechtechnology.web.illinois.edu/uaspeech/" TargetMode="External"/><Relationship Id="rId18" Type="http://schemas.openxmlformats.org/officeDocument/2006/relationships/hyperlink" Target="https://arxiv.org/abs/2312.08998" TargetMode="External"/><Relationship Id="rId19" Type="http://schemas.openxmlformats.org/officeDocument/2006/relationships/hyperlink" Target="https://www.frontiersin.org/journals/psychiatry/articles/10.3389/fpsyt.2025.1633492/full" TargetMode="External"/><Relationship Id="rId20" Type="http://schemas.openxmlformats.org/officeDocument/2006/relationships/hyperlink" Target="https://www.nature.com/articles/s41467-025-68228-9" TargetMode="External"/><Relationship Id="rId21" Type="http://schemas.openxmlformats.org/officeDocument/2006/relationships/hyperlink" Target="https://zenodo.org/records/17956161" TargetMode="External"/><Relationship Id="rId22" Type="http://schemas.openxmlformats.org/officeDocument/2006/relationships/hyperlink" Target="https://affectivedatascience.com/datasets" TargetMode="External"/><Relationship Id="rId23" Type="http://schemas.openxmlformats.org/officeDocument/2006/relationships/hyperlink" Target="https://pmc.ncbi.nlm.nih.gov/articles/PMC5955500/" TargetMode="External"/><Relationship Id="rId24" Type="http://schemas.openxmlformats.org/officeDocument/2006/relationships/hyperlink" Target="https://zenodo.org/records/1188976" TargetMode="External"/><Relationship Id="rId25" Type="http://schemas.openxmlformats.org/officeDocument/2006/relationships/hyperlink" Target="https://github.com/sb-ai-lab/EmotiEffLib" TargetMode="External"/><Relationship Id="rId26" Type="http://schemas.openxmlformats.org/officeDocument/2006/relationships/hyperlink" Target="https://github.com/TadasBaltrusaitis/OpenFace" TargetMode="External"/><Relationship Id="rId27" Type="http://schemas.openxmlformats.org/officeDocument/2006/relationships/hyperlink" Target="https://github.com/speechbrain/speechbrain" TargetMode="External"/><Relationship Id="rId28" Type="http://schemas.openxmlformats.org/officeDocument/2006/relationships/hyperlink" Target="https://huggingface.co/speechbrain/emotion-recognition-wav2vec2-IEMOC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