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Data Loading and Preprocessing: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The code loads the dataset from a CSV file containing climate adaptation solutions.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It uses `nltk` to tokenize the descriptions, convert them to lowercase, remove non-alphanumeric words, and eliminate common stopwords (like "the," "is," etc.).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Generating n-grams: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The function `generate_ngrams` creates n-grams (in this case, bigrams) from the cleaned descriptions.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Bigrams represent pairs of consecutive words, useful for identifying word combinations that frequently appear together (e.g., "climate resilience").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Topic Modeling with `sklearn`: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The code then performs topic modeling using Latent Dirichlet Allocation (LDA) from `sklearn`.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It vectorizes the descriptions into a document-term matrix, then applies LDA to identify topics.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The top 10 words for each topic are printed to give insights into each topic's theme.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Topic Modeling with `gensim`: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The code also applies topic modeling using `gensim`'s LDA, which allows us to work with custom tokenized text and dictionaries.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Gensim builds a more customizable model, where topics are generated with meaningful word distributions.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Each topic is displayed with its most representative words, providing a human-readable summary of the underlying themes in the descriptions.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Output and Customization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The code outputs sample bigrams, lists of keywords for each topic, and the primary themes.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Key parameters (number of topics, n-gram size) can be adjusted to refine the output based on dataset characteristics and analysis needs.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