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Nariway</w:t>
        <w:br/>
        <w:t>Strategy Brief</w:t>
      </w:r>
    </w:p>
    <w:p>
      <w:pPr>
        <w:jc w:val="left"/>
      </w:pPr>
      <w:r>
        <w:rPr>
          <w:b/>
          <w:sz w:val="24"/>
        </w:rPr>
        <w:t>Latest business direction, market-entry strategy, publishing model, website implications, and near-term priorities</w:t>
      </w:r>
    </w:p>
    <w:p>
      <w:r>
        <w:rPr>
          <w:i/>
        </w:rPr>
        <w:t>Prepared for Claude Code  |  August 2026</w:t>
      </w:r>
    </w:p>
    <w:p>
      <w:r>
        <w:t>Purpose: This document consolidates the latest strategic thinking so that all research, website work, publishing, and business development are aligned around one focused proposition. It should supersede older working assumptions where they conflict with the direction below.</w:t>
      </w:r>
    </w:p>
    <w:p>
      <w:pPr>
        <w:pStyle w:val="Heading1"/>
      </w:pPr>
      <w:r>
        <w:t>1. The strategic conclusion</w:t>
      </w:r>
    </w:p>
    <w:p>
      <w:r>
        <w:t>Nariway should not try to become a broad art advisory, a generic passion-assets firm, an art-market publication, or a comprehensive encyclopedia of collecting. The strongest and most defensible territory is the long-term future of private art collections.</w:t>
      </w:r>
    </w:p>
    <w:p>
      <w:pPr>
        <w:pStyle w:val="Heading2"/>
      </w:pPr>
      <w:r>
        <w:t>Core proposition</w:t>
      </w:r>
    </w:p>
    <w:p>
      <w:r>
        <w:t>Private art collections often sit outside the professional infrastructure that manages the rest of a family's wealth, until a transfer, death, sale, insurance event, tax issue, or institutional decision forces everyone to deal with the collection.</w:t>
      </w:r>
    </w:p>
    <w:p>
      <w:r>
        <w:t>Nariway exists at that moment. It helps owners, families, family offices, and their advisers understand the choices facing a private art collection, compare relevant precedents, organize the decision, and coordinate the specialist expertise needed to determine what happens next.</w:t>
      </w:r>
    </w:p>
    <w:p>
      <w:r>
        <w:t>This is narrower than 'art advisory' and broader than any one technical specialty. Nariway does not need to be the appraiser, estate attorney, tax adviser, dealer, curator, insurer, conservator, or museum consultant. Its potential role is owner-side research, strategy, decision support, and coordination across those disciplines.</w:t>
      </w:r>
    </w:p>
    <w:p>
      <w:pPr>
        <w:pStyle w:val="Heading1"/>
      </w:pPr>
      <w:r>
        <w:t>2. What Nariway is not</w:t>
      </w:r>
    </w:p>
    <w:p>
      <w:r>
        <w:rPr>
          <w:b/>
        </w:rPr>
        <w:t xml:space="preserve">Not a traditional art adviser. </w:t>
      </w:r>
      <w:r>
        <w:t>Nariway is not primarily sourcing, buying, selling, or taking commissions on transactions.</w:t>
      </w:r>
    </w:p>
    <w:p>
      <w:r>
        <w:rPr>
          <w:b/>
        </w:rPr>
        <w:t xml:space="preserve">Not an appraiser. </w:t>
      </w:r>
      <w:r>
        <w:t>Valuation should be performed by qualified independent appraisers. Nariway needs fluency in valuation issues, not a separate appraisal profession.</w:t>
      </w:r>
    </w:p>
    <w:p>
      <w:r>
        <w:rPr>
          <w:b/>
        </w:rPr>
        <w:t xml:space="preserve">Not a tax or legal adviser. </w:t>
      </w:r>
      <w:r>
        <w:t>Nariway explains the landscape, identifies questions and decision dependencies, and works alongside qualified counsel and tax professionals.</w:t>
      </w:r>
    </w:p>
    <w:p>
      <w:r>
        <w:rPr>
          <w:b/>
        </w:rPr>
        <w:t xml:space="preserve">Not a generic passion-assets firm. </w:t>
      </w:r>
      <w:r>
        <w:t>Cars, watches, wine, yachts, jewelry, and other collectibles validate the broader family-office problem, but Nariway should stay focused on private art collections.</w:t>
      </w:r>
    </w:p>
    <w:p>
      <w:r>
        <w:rPr>
          <w:b/>
        </w:rPr>
        <w:t xml:space="preserve">Not a museum-development company. </w:t>
      </w:r>
      <w:r>
        <w:t>Building an institution is only one possible future for a collection. Partnering, giving, retaining, selling, dispersing, lending, and other arrangements belong in the same decision landscape.</w:t>
      </w:r>
    </w:p>
    <w:p>
      <w:r>
        <w:rPr>
          <w:b/>
        </w:rPr>
        <w:t xml:space="preserve">Not a content company looking for a business model. </w:t>
      </w:r>
      <w:r>
        <w:t>Research and publishing are commercial infrastructure for the advisory business and may eventually create additional revenue, but they serve the same underlying domain.</w:t>
      </w:r>
    </w:p>
    <w:p>
      <w:pPr>
        <w:pStyle w:val="Heading1"/>
      </w:pPr>
      <w:r>
        <w:t>3. The market hypothesis</w:t>
      </w:r>
    </w:p>
    <w:p>
      <w:r>
        <w:t>The working hypothesis is that private art collections can become an unowned planning problem. Wealth managers and family offices may be highly sophisticated about conventional assets while art remains partly outside normal reporting, estate, liquidity, risk, governance, and succession processes. The problem becomes visible when a triggering event occurs.</w:t>
      </w:r>
    </w:p>
    <w:p>
      <w:r>
        <w:t>Typical triggers may include:</w:t>
      </w:r>
    </w:p>
    <w:p>
      <w:pPr>
        <w:pStyle w:val="ListBullet"/>
      </w:pPr>
      <w:r>
        <w:t>the collector begins estate or succession planning</w:t>
      </w:r>
    </w:p>
    <w:p>
      <w:pPr>
        <w:pStyle w:val="ListBullet"/>
      </w:pPr>
      <w:r>
        <w:t>the collector dies or becomes unable to manage the collection</w:t>
      </w:r>
    </w:p>
    <w:p>
      <w:pPr>
        <w:pStyle w:val="ListBullet"/>
      </w:pPr>
      <w:r>
        <w:t>heirs disagree or have different interests</w:t>
      </w:r>
    </w:p>
    <w:p>
      <w:pPr>
        <w:pStyle w:val="ListBullet"/>
      </w:pPr>
      <w:r>
        <w:t>a major sale or donation is considered</w:t>
      </w:r>
    </w:p>
    <w:p>
      <w:pPr>
        <w:pStyle w:val="ListBullet"/>
      </w:pPr>
      <w:r>
        <w:t>liquidity or tax obligations become relevant</w:t>
      </w:r>
    </w:p>
    <w:p>
      <w:pPr>
        <w:pStyle w:val="ListBullet"/>
      </w:pPr>
      <w:r>
        <w:t>the family considers creating a museum, foundation, archive, loan program, or institutional partnership</w:t>
      </w:r>
    </w:p>
    <w:p>
      <w:pPr>
        <w:pStyle w:val="ListBullet"/>
      </w:pPr>
      <w:r>
        <w:t>an institution accepts only part of a collection</w:t>
      </w:r>
    </w:p>
    <w:p>
      <w:pPr>
        <w:pStyle w:val="ListBullet"/>
      </w:pPr>
      <w:r>
        <w:t>insurance, appraisal, storage, governance, or documentation issues become material to the collection's future</w:t>
      </w:r>
    </w:p>
    <w:p>
      <w:r>
        <w:t>This proposition is not yet commercially validated. No amount of additional research can substitute for real market response. However, the current work is not irrational 'building before validation.' It is an MVP strategy: make the proposition concrete enough that the right people can understand it, react to it, refer it, or reject it.</w:t>
      </w:r>
    </w:p>
    <w:p>
      <w:pPr>
        <w:pStyle w:val="Heading1"/>
      </w:pPr>
      <w:r>
        <w:t>4. The two audiences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Audience</w:t>
            </w:r>
          </w:p>
        </w:tc>
        <w:tc>
          <w:tcPr>
            <w:tcW w:type="dxa" w:w="3264"/>
          </w:tcPr>
          <w:p>
            <w:r>
              <w:t>Who</w:t>
            </w:r>
          </w:p>
        </w:tc>
        <w:tc>
          <w:tcPr>
            <w:tcW w:type="dxa" w:w="3264"/>
          </w:tcPr>
          <w:p>
            <w:r>
              <w:t>Commercial role</w:t>
            </w:r>
          </w:p>
        </w:tc>
      </w:tr>
      <w:tr>
        <w:tc>
          <w:tcPr>
            <w:tcW w:type="dxa" w:w="3264"/>
          </w:tcPr>
          <w:p>
            <w:r>
              <w:t>The family</w:t>
            </w:r>
          </w:p>
        </w:tc>
        <w:tc>
          <w:tcPr>
            <w:tcW w:type="dxa" w:w="3264"/>
          </w:tcPr>
          <w:p>
            <w:r>
              <w:t>Collector, spouse, heirs, trustees, family-office leadership</w:t>
            </w:r>
          </w:p>
        </w:tc>
        <w:tc>
          <w:tcPr>
            <w:tcW w:type="dxa" w:w="3264"/>
          </w:tcPr>
          <w:p>
            <w:r>
              <w:t>Potential buyer of high-value advisory work</w:t>
            </w:r>
          </w:p>
        </w:tc>
      </w:tr>
      <w:tr>
        <w:tc>
          <w:tcPr>
            <w:tcW w:type="dxa" w:w="3264"/>
          </w:tcPr>
          <w:p>
            <w:r>
              <w:t>Professionals around the family</w:t>
            </w:r>
          </w:p>
        </w:tc>
        <w:tc>
          <w:tcPr>
            <w:tcW w:type="dxa" w:w="3264"/>
          </w:tcPr>
          <w:p>
            <w:r>
              <w:t>Estate attorneys, CPAs, trust officers, family-office executives, wealth advisers, philanthropic advisers, appraisers, insurers, museum professionals</w:t>
            </w:r>
          </w:p>
        </w:tc>
        <w:tc>
          <w:tcPr>
            <w:tcW w:type="dxa" w:w="3264"/>
          </w:tcPr>
          <w:p>
            <w:r>
              <w:t>Referral, credibility, distribution, specialist network, and sometimes sponsorship/collaboration</w:t>
            </w:r>
          </w:p>
        </w:tc>
      </w:tr>
    </w:tbl>
    <w:p>
      <w:r>
        <w:t>The second audience is strategically critical. Marketing to them should not primarily say 'hire Nariway.' It should say: 'Here is useful research when a private art collection appears in your client's estate or planning work.'</w:t>
      </w:r>
    </w:p>
    <w:p>
      <w:pPr>
        <w:pStyle w:val="Heading1"/>
      </w:pPr>
      <w:r>
        <w:t>5. The business architecture</w:t>
      </w:r>
    </w:p>
    <w:p>
      <w:r>
        <w:t>The emerging model is one research engine expressed through four connected products. These should reinforce one another rather than operate as separate businesses.</w:t>
      </w:r>
    </w:p>
    <w:p>
      <w:r>
        <w:rPr>
          <w:b/>
        </w:rPr>
        <w:t xml:space="preserve">1. Open research. </w:t>
      </w:r>
      <w:r>
        <w:t>The Collection Index and Knowledge Base. Free, rigorous, sourced, and designed to demonstrate authority and make Nariway discoverable.</w:t>
      </w:r>
    </w:p>
    <w:p>
      <w:r>
        <w:rPr>
          <w:b/>
        </w:rPr>
        <w:t xml:space="preserve">2. Current intelligence. </w:t>
      </w:r>
      <w:r>
        <w:t>Artobiography. A weekly Substack covering 3 to 5 meaningful developments involving private art collections, with concise analysis of why each matters.</w:t>
      </w:r>
    </w:p>
    <w:p>
      <w:r>
        <w:rPr>
          <w:b/>
        </w:rPr>
        <w:t xml:space="preserve">3. Professional publishing. </w:t>
      </w:r>
      <w:r>
        <w:t>Nariway Briefing. Periodic, highly designed research briefings for advisers and family-office professionals. Digital can be open; print should be selective and intentionally distributed.</w:t>
      </w:r>
    </w:p>
    <w:p>
      <w:r>
        <w:rPr>
          <w:b/>
        </w:rPr>
        <w:t xml:space="preserve">4. Advisory. </w:t>
      </w:r>
      <w:r>
        <w:t>High-value owner-side work applying the research to one collection and one family's real decisions.</w:t>
      </w:r>
    </w:p>
    <w:p>
      <w:r>
        <w:t>The flywheel is important: a collection development enters Nariway Signals, may become an Artobiography item, can create or update a Collection Index record, contributes evidence to the Knowledge Base, may become part of a Nariway Briefing, and ultimately improves the precedent base used in advisory work.</w:t>
      </w:r>
    </w:p>
    <w:p>
      <w:pPr>
        <w:pStyle w:val="Heading1"/>
      </w:pPr>
      <w:r>
        <w:t>6. Advisory offer hypothesis</w:t>
      </w:r>
    </w:p>
    <w:p>
      <w:r>
        <w:t>The current offer design remains a hypothesis to test, not a finished product that should dictate the market conversation.</w:t>
      </w:r>
    </w:p>
    <w:p>
      <w:pPr>
        <w:pStyle w:val="Heading2"/>
      </w:pPr>
      <w:r>
        <w:t>Collection Futures Orientation</w:t>
      </w:r>
    </w:p>
    <w:p>
      <w:r>
        <w:t>A bounded, lower-risk front door, previously estimated around $5,000 to $10,000 and roughly 2 to 3 weeks. Its purpose is to clarify the collection situation, identify the decisions and specialist questions, and determine whether a larger study is warranted. Pricing remains a test variable.</w:t>
      </w:r>
    </w:p>
    <w:p>
      <w:pPr>
        <w:pStyle w:val="Heading2"/>
      </w:pPr>
      <w:r>
        <w:t>Collection Futures Study</w:t>
      </w:r>
    </w:p>
    <w:p>
      <w:r>
        <w:t>A deeper engagement, previously estimated around $25,000 to $50,000 and roughly 8 to 12 weeks. It would compare relevant precedents and pathways, organize the collection's decision factors, identify dependencies across tax/legal/appraisal/institutional issues, and culminate in a written study and working session with the owner and advisers.</w:t>
      </w:r>
    </w:p>
    <w:p>
      <w:r>
        <w:t>Key positioning principle: Nariway should take no commission based on which pathway is chosen. Independence is part of the value proposition.</w:t>
      </w:r>
    </w:p>
    <w:p>
      <w:pPr>
        <w:pStyle w:val="Heading1"/>
      </w:pPr>
      <w:r>
        <w:t>7. Research should be open, not hoarded</w:t>
      </w:r>
    </w:p>
    <w:p>
      <w:r>
        <w:t>The strategic direction is to share substantial research publicly. In an AI-rich environment, hoarding basic information is a weak moat. The moat should be the structure of the corpus, the quality of verification, the taxonomy, cross-case comparison, accumulated precedent, judgment about relevance, and the ability to apply that knowledge to a real collection.</w:t>
      </w:r>
    </w:p>
    <w:p>
      <w:r>
        <w:t>Free public research does not mean giving away the advisory service. General knowledge and precedent can be public; collection-specific synthesis, confidential analysis, coordination, and decision support remain paid.</w:t>
      </w:r>
    </w:p>
    <w:p>
      <w:pPr>
        <w:pStyle w:val="Heading1"/>
      </w:pPr>
      <w:r>
        <w:t>8. Website implications</w:t>
      </w:r>
    </w:p>
    <w:p>
      <w:r>
        <w:t>The Collection Index is now live and should remain the evidence layer. The next website work should align every public page to the focused proposition above.</w:t>
      </w:r>
    </w:p>
    <w:p>
      <w:r>
        <w:rPr>
          <w:b/>
        </w:rPr>
        <w:t xml:space="preserve">Collections. </w:t>
      </w:r>
      <w:r>
        <w:t>What have other private art collections actually done? Structured evidence and precedent.</w:t>
      </w:r>
    </w:p>
    <w:p>
      <w:r>
        <w:rPr>
          <w:b/>
        </w:rPr>
        <w:t xml:space="preserve">Knowledge Base. </w:t>
      </w:r>
      <w:r>
        <w:t>What should an owner or adviser understand about holding, transition, succession, value, tax, governance, public access, and possible futures, but only to the depth those subjects affect the collection's long-term future.</w:t>
      </w:r>
    </w:p>
    <w:p>
      <w:r>
        <w:rPr>
          <w:b/>
        </w:rPr>
        <w:t xml:space="preserve">Artobiography. </w:t>
      </w:r>
      <w:r>
        <w:t>Current developments in private collections, not general art news.</w:t>
      </w:r>
    </w:p>
    <w:p>
      <w:r>
        <w:rPr>
          <w:b/>
        </w:rPr>
        <w:t xml:space="preserve">Advisory / Work with Nariway. </w:t>
      </w:r>
      <w:r>
        <w:t>A very clear explanation of the problem Nariway works on, who it works alongside, what it does, and what it does not do.</w:t>
      </w:r>
    </w:p>
    <w:p>
      <w:r>
        <w:t>The homepage copy may need another pass. The site should make the planning gap understandable quickly. Avoid broad claims of art expertise and avoid language that makes Nariway sound like a conventional art advisory.</w:t>
      </w:r>
    </w:p>
    <w:p>
      <w:pPr>
        <w:pStyle w:val="Heading1"/>
      </w:pPr>
      <w:r>
        <w:t>9. Knowledge Base direction</w:t>
      </w:r>
    </w:p>
    <w:p>
      <w:r>
        <w:t>Tomorrow's Knowledge Base work should continue, but it should be filtered through the business proposition rather than expanded into a comprehensive art-collection encyclopedia.</w:t>
      </w:r>
    </w:p>
    <w:p>
      <w:r>
        <w:t>Depth gate: a subject earns space only to the depth that it changes what can happen to the collection. Provenance, condition, insurance, valuation, tax, rights, and cross-border issues matter when they affect ownership, transfer, liquidity, access, succession, institutional acceptance, sale, donation, governance, or durability.</w:t>
      </w:r>
    </w:p>
    <w:p>
      <w:r>
        <w:t>Current strong launch subjects include:</w:t>
      </w:r>
    </w:p>
    <w:p>
      <w:pPr>
        <w:pStyle w:val="ListBullet"/>
      </w:pPr>
      <w:r>
        <w:t>The Great Wealth Transfer and private art collections</w:t>
      </w:r>
    </w:p>
    <w:p>
      <w:pPr>
        <w:pStyle w:val="ListBullet"/>
      </w:pPr>
      <w:r>
        <w:t>The cost of keeping a collection</w:t>
      </w:r>
    </w:p>
    <w:p>
      <w:pPr>
        <w:pStyle w:val="ListBullet"/>
      </w:pPr>
      <w:r>
        <w:t>Valuing art, including the fact that different valuation purposes can produce different correct values</w:t>
      </w:r>
    </w:p>
    <w:p>
      <w:pPr>
        <w:pStyle w:val="ListBullet"/>
      </w:pPr>
      <w:r>
        <w:t>Estate planning and art collections</w:t>
      </w:r>
    </w:p>
    <w:p>
      <w:pPr>
        <w:pStyle w:val="ListBullet"/>
      </w:pPr>
      <w:r>
        <w:t>Partnering with an institution</w:t>
      </w:r>
    </w:p>
    <w:p>
      <w:pPr>
        <w:pStyle w:val="ListBullet"/>
      </w:pPr>
      <w:r>
        <w:t>Governance and why collections outlast or fail to outlast their founders</w:t>
      </w:r>
    </w:p>
    <w:p>
      <w:pPr>
        <w:pStyle w:val="ListBullet"/>
      </w:pPr>
      <w:r>
        <w:t>Ownership is not access</w:t>
      </w:r>
    </w:p>
    <w:p>
      <w:r>
        <w:t>Do not pad weak territories merely to make the architecture look complete. Research gaps can be filled deliberately with subagents when the missing subject is strategically important.</w:t>
      </w:r>
    </w:p>
    <w:p>
      <w:pPr>
        <w:pStyle w:val="Heading1"/>
      </w:pPr>
      <w:r>
        <w:t>10. Artobiography's new job</w:t>
      </w:r>
    </w:p>
    <w:p>
      <w:r>
        <w:t>Artobiography should no longer depend on interviews. The sustainable format is a weekly Substack built from Nariway Signals: roughly 3 to 5 developments involving private collections, each summarized clearly with a short Nariway interpretation of why it matters.</w:t>
      </w:r>
    </w:p>
    <w:p>
      <w:r>
        <w:t>The newsletter should be useful on its own, but it also acts as a weekly sensing mechanism. It surfaces new collections, new pathways, institutional experiments, succession events, museum openings and closures, governance failures, gifts, loans, sales, and other developments that feed the broader research system.</w:t>
      </w:r>
    </w:p>
    <w:p>
      <w:r>
        <w:t>The tone should be restrained and sophisticated. Avoid inflated phrases such as 'the biggest test case in the universe.' Let the facts and comparison make the importance visible.</w:t>
      </w:r>
    </w:p>
    <w:p>
      <w:pPr>
        <w:pStyle w:val="Heading1"/>
      </w:pPr>
      <w:r>
        <w:t>11. Nariway Briefing</w:t>
      </w:r>
    </w:p>
    <w:p>
      <w:r>
        <w:t>The strongest new marketing concept is a periodic professional research publication. It should feel like an object a sophisticated attorney, family-office executive, trust officer, or adviser keeps, not a disposable lead-generation PDF.</w:t>
      </w:r>
    </w:p>
    <w:p>
      <w:pPr>
        <w:pStyle w:val="Heading2"/>
      </w:pPr>
      <w:r>
        <w:t>Working concept for Briefing No. 01</w:t>
      </w:r>
    </w:p>
    <w:p>
      <w:r>
        <w:t>Title: What Happens to the Collection?</w:t>
      </w:r>
    </w:p>
    <w:p>
      <w:r>
        <w:t>Possible premise: Why private art collections can become a planning problem, and what families have actually done.</w:t>
      </w:r>
    </w:p>
    <w:p>
      <w:r>
        <w:rPr>
          <w:b/>
        </w:rPr>
        <w:t xml:space="preserve">01 The overlooked asset. </w:t>
      </w:r>
      <w:r>
        <w:t>How art can sit outside the normal infrastructure of family wealth and why that matters.</w:t>
      </w:r>
    </w:p>
    <w:p>
      <w:r>
        <w:rPr>
          <w:b/>
        </w:rPr>
        <w:t xml:space="preserve">02 The transfer ahead. </w:t>
      </w:r>
      <w:r>
        <w:t>Great Wealth Transfer data, inheritance intentions, retention evidence, and the distinction between ownership transfer and market sale.</w:t>
      </w:r>
    </w:p>
    <w:p>
      <w:r>
        <w:rPr>
          <w:b/>
        </w:rPr>
        <w:t xml:space="preserve">03 The decisions are not interchangeable. </w:t>
      </w:r>
      <w:r>
        <w:t>Retain, give, partner, build, sell, disperse, and related pathways, illustrated by real collections.</w:t>
      </w:r>
    </w:p>
    <w:p>
      <w:r>
        <w:rPr>
          <w:b/>
        </w:rPr>
        <w:t xml:space="preserve">04 What changes the answer. </w:t>
      </w:r>
      <w:r>
        <w:t>Family, liquidity, tax, coherence, public interest, governance, operating resources, and institutional realities.</w:t>
      </w:r>
    </w:p>
    <w:p>
      <w:r>
        <w:rPr>
          <w:b/>
        </w:rPr>
        <w:t xml:space="preserve">05 Cases from the Collection Index. </w:t>
      </w:r>
      <w:r>
        <w:t>A small set of contrasting precedents presented beautifully and factually.</w:t>
      </w:r>
    </w:p>
    <w:p>
      <w:r>
        <w:t>Initial print concept: perhaps 24 exceptional pages rather than a long report. Heavy paper, excellent typography, no filler, primary-source citations, original data, and carefully chosen cases. The digital version can be openly available. The print edition can be available by request and selectively mailed.</w:t>
      </w:r>
    </w:p>
    <w:p>
      <w:r>
        <w:t>A first run might be approximately 250 copies, deliberately placed with estate-planning leaders and members, family-office professionals, art and estate attorneys, appraisers, museum professionals, selected journalists, collaborators, and promising connectors.</w:t>
      </w:r>
    </w:p>
    <w:p>
      <w:pPr>
        <w:pStyle w:val="Heading1"/>
      </w:pPr>
      <w:r>
        <w:t>12. Distribution strategy: embed in professional communities</w:t>
      </w:r>
    </w:p>
    <w:p>
      <w:r>
        <w:t>The emerging distribution strategy is not mass cold outreach. It is to enter professional communities where advisers already work with wealthy families, contribute useful research, build familiarity over time, and learn what would make them comfortable referring a private-collection situation to Nariway.</w:t>
      </w:r>
    </w:p>
    <w:p>
      <w:r>
        <w:t>NAEPC and local Estate Planning Councils are currently the most promising first ecosystem because they are multidisciplinary, local, relatively low-friction, and built around team-based estate planning.</w:t>
      </w:r>
    </w:p>
    <w:p>
      <w:r>
        <w:t>Current pilot markets and the distinct experiment each can test:</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Market</w:t>
            </w:r>
          </w:p>
        </w:tc>
        <w:tc>
          <w:tcPr>
            <w:tcW w:type="dxa" w:w="3264"/>
          </w:tcPr>
          <w:p>
            <w:r>
              <w:t>Primary experiment</w:t>
            </w:r>
          </w:p>
        </w:tc>
        <w:tc>
          <w:tcPr>
            <w:tcW w:type="dxa" w:w="3264"/>
          </w:tcPr>
          <w:p>
            <w:r>
              <w:t>Strategic value</w:t>
            </w:r>
          </w:p>
        </w:tc>
      </w:tr>
      <w:tr>
        <w:tc>
          <w:tcPr>
            <w:tcW w:type="dxa" w:w="3264"/>
          </w:tcPr>
          <w:p>
            <w:r>
              <w:t>Greater New Jersey</w:t>
            </w:r>
          </w:p>
        </w:tc>
        <w:tc>
          <w:tcPr>
            <w:tcW w:type="dxa" w:w="3264"/>
          </w:tcPr>
          <w:p>
            <w:r>
              <w:t>Attend as a guest and participate normally. Observe whether relationships form without pitching.</w:t>
            </w:r>
          </w:p>
        </w:tc>
        <w:tc>
          <w:tcPr>
            <w:tcW w:type="dxa" w:w="3264"/>
          </w:tcPr>
          <w:p>
            <w:r>
              <w:t>Lowest-friction first test.</w:t>
            </w:r>
          </w:p>
        </w:tc>
      </w:tr>
      <w:tr>
        <w:tc>
          <w:tcPr>
            <w:tcW w:type="dxa" w:w="3264"/>
          </w:tcPr>
          <w:p>
            <w:r>
              <w:t>New York City</w:t>
            </w:r>
          </w:p>
        </w:tc>
        <w:tc>
          <w:tcPr>
            <w:tcW w:type="dxa" w:w="3264"/>
          </w:tcPr>
          <w:p>
            <w:r>
              <w:t>Establish credibility with sophisticated advisers and specialists.</w:t>
            </w:r>
          </w:p>
        </w:tc>
        <w:tc>
          <w:tcPr>
            <w:tcW w:type="dxa" w:w="3264"/>
          </w:tcPr>
          <w:p>
            <w:r>
              <w:t>High-value professional network.</w:t>
            </w:r>
          </w:p>
        </w:tc>
      </w:tr>
      <w:tr>
        <w:tc>
          <w:tcPr>
            <w:tcW w:type="dxa" w:w="3264"/>
          </w:tcPr>
          <w:p>
            <w:r>
              <w:t>Westchester</w:t>
            </w:r>
          </w:p>
        </w:tc>
        <w:tc>
          <w:tcPr>
            <w:tcW w:type="dxa" w:w="3264"/>
          </w:tcPr>
          <w:p>
            <w:r>
              <w:t>Test research distribution and potentially modest sponsorship.</w:t>
            </w:r>
          </w:p>
        </w:tc>
        <w:tc>
          <w:tcPr>
            <w:tcW w:type="dxa" w:w="3264"/>
          </w:tcPr>
          <w:p>
            <w:r>
              <w:t>Audience already consumes professional research.</w:t>
            </w:r>
          </w:p>
        </w:tc>
      </w:tr>
      <w:tr>
        <w:tc>
          <w:tcPr>
            <w:tcW w:type="dxa" w:w="3264"/>
          </w:tcPr>
          <w:p>
            <w:r>
              <w:t>Palm Beach</w:t>
            </w:r>
          </w:p>
        </w:tc>
        <w:tc>
          <w:tcPr>
            <w:tcW w:type="dxa" w:w="3264"/>
          </w:tcPr>
          <w:p>
            <w:r>
              <w:t>Test publishing as market entry.</w:t>
            </w:r>
          </w:p>
        </w:tc>
        <w:tc>
          <w:tcPr>
            <w:tcW w:type="dxa" w:w="3264"/>
          </w:tcPr>
          <w:p>
            <w:r>
              <w:t>Strong overlap of collectors, wealth, estate planning, and precedent for art-related estate-planning publishing.</w:t>
            </w:r>
          </w:p>
        </w:tc>
      </w:tr>
      <w:tr>
        <w:tc>
          <w:tcPr>
            <w:tcW w:type="dxa" w:w="3264"/>
          </w:tcPr>
          <w:p>
            <w:r>
              <w:t>Miami</w:t>
            </w:r>
          </w:p>
        </w:tc>
        <w:tc>
          <w:tcPr>
            <w:tcW w:type="dxa" w:w="3264"/>
          </w:tcPr>
          <w:p>
            <w:r>
              <w:t>Test cross-disciplinary network density.</w:t>
            </w:r>
          </w:p>
        </w:tc>
        <w:tc>
          <w:tcPr>
            <w:tcW w:type="dxa" w:w="3264"/>
          </w:tcPr>
          <w:p>
            <w:r>
              <w:t>Estate planning, CPA, legal, CFA, STEP, financial-planning, and related communities overlap.</w:t>
            </w:r>
          </w:p>
        </w:tc>
      </w:tr>
    </w:tbl>
    <w:p>
      <w:pPr>
        <w:pStyle w:val="Heading1"/>
      </w:pPr>
      <w:r>
        <w:t>13. How to behave inside these communities</w:t>
      </w:r>
    </w:p>
    <w:p>
      <w:r>
        <w:t>The initial objective is not to sell Nariway aggressively. It is to embed Nariway in the profession and learn three things:</w:t>
      </w:r>
    </w:p>
    <w:p>
      <w:pPr>
        <w:pStyle w:val="ListBullet"/>
      </w:pPr>
      <w:r>
        <w:t>Distribution: who can put Nariway's research in front of the right families and advisers?</w:t>
      </w:r>
    </w:p>
    <w:p>
      <w:pPr>
        <w:pStyle w:val="ListBullet"/>
      </w:pPr>
      <w:r>
        <w:t>Knowledge: what do these professionals know that the current research does not?</w:t>
      </w:r>
    </w:p>
    <w:p>
      <w:pPr>
        <w:pStyle w:val="ListBullet"/>
      </w:pPr>
      <w:r>
        <w:t>Legitimacy: what would make them comfortable bringing Nariway into a client situation?</w:t>
      </w:r>
    </w:p>
    <w:p>
      <w:r>
        <w:t>A particularly useful future question for trusted professionals is: 'If you encountered a family trying to decide the long-term future of a private art collection, what would you need to know about someone like me before you would feel comfortable bringing them into the conversation?'</w:t>
      </w:r>
    </w:p>
    <w:p>
      <w:r>
        <w:t>This is more valuable than guessing which credential or biography line creates trust.</w:t>
      </w:r>
    </w:p>
    <w:p>
      <w:pPr>
        <w:pStyle w:val="Heading1"/>
      </w:pPr>
      <w:r>
        <w:t>14. Credential strategy</w:t>
      </w:r>
    </w:p>
    <w:p>
      <w:r>
        <w:t>Do not collect credentials for reassurance. The current view is that the CPA already provides conventional professional standing. What Nariway needs to build is domain standing.</w:t>
      </w:r>
    </w:p>
    <w:p>
      <w:r>
        <w:rPr>
          <w:b/>
        </w:rPr>
        <w:t xml:space="preserve">NAEPC / local council participation. </w:t>
      </w:r>
      <w:r>
        <w:t>High priority now.</w:t>
      </w:r>
    </w:p>
    <w:p>
      <w:r>
        <w:rPr>
          <w:b/>
        </w:rPr>
        <w:t xml:space="preserve">Estate-planning coursework. </w:t>
      </w:r>
      <w:r>
        <w:t>Worth investigating selectively for technical fluency, especially estate/gift planning, trusts, charitable planning, and related structures.</w:t>
      </w:r>
    </w:p>
    <w:p>
      <w:r>
        <w:rPr>
          <w:b/>
        </w:rPr>
        <w:t xml:space="preserve">AEP. </w:t>
      </w:r>
      <w:r>
        <w:t>Potentially very valuable later, but it requires real estate-planning practice and collaboration. Treat it as a credential to grow into, not a prerequisite.</w:t>
      </w:r>
    </w:p>
    <w:p>
      <w:r>
        <w:rPr>
          <w:b/>
        </w:rPr>
        <w:t xml:space="preserve">STEP / TEP. </w:t>
      </w:r>
      <w:r>
        <w:t>Potentially useful later, especially if cross-border work becomes important. Explore the community and education before pursuing the designation.</w:t>
      </w:r>
    </w:p>
    <w:p>
      <w:r>
        <w:rPr>
          <w:b/>
        </w:rPr>
        <w:t xml:space="preserve">Art appraisal credential. </w:t>
      </w:r>
      <w:r>
        <w:t>Do not pursue. Appraisal is a separate profession and should remain an independent specialist role.</w:t>
      </w:r>
    </w:p>
    <w:p>
      <w:r>
        <w:rPr>
          <w:b/>
        </w:rPr>
        <w:t xml:space="preserve">Generic art-business or art-advisory certificates. </w:t>
      </w:r>
      <w:r>
        <w:t>Low priority. They will not reproduce decades of art-market experience and may blur Nariway's distinct position.</w:t>
      </w:r>
    </w:p>
    <w:p>
      <w:r>
        <w:rPr>
          <w:b/>
        </w:rPr>
        <w:t xml:space="preserve">Another degree. </w:t>
      </w:r>
      <w:r>
        <w:t>Not needed.</w:t>
      </w:r>
    </w:p>
    <w:p>
      <w:r>
        <w:t>A better near-term approach is a targeted Nariway professional curriculum: estate and gift planning, trusts and ownership structures, charitable planning, art valuation/appraisal rules, and museum/institutional gift and governance mechanics. The Knowledge Base research itself can be part of this curriculum, supplemented by formal coursework where technical complexity warrants it.</w:t>
      </w:r>
    </w:p>
    <w:p>
      <w:pPr>
        <w:pStyle w:val="Heading1"/>
      </w:pPr>
      <w:r>
        <w:t>15. Professional network model</w:t>
      </w:r>
    </w:p>
    <w:p>
      <w:r>
        <w:t>Nariway should intentionally build a network of specialists rather than trying to internalize every competency. This supports the founder's-representative model and makes role boundaries credible.</w:t>
      </w:r>
    </w:p>
    <w:p>
      <w:pPr>
        <w:pStyle w:val="ListBullet"/>
      </w:pPr>
      <w:r>
        <w:t>estate and trust attorneys</w:t>
      </w:r>
    </w:p>
    <w:p>
      <w:pPr>
        <w:pStyle w:val="ListBullet"/>
      </w:pPr>
      <w:r>
        <w:t>tax advisers and CPAs</w:t>
      </w:r>
    </w:p>
    <w:p>
      <w:pPr>
        <w:pStyle w:val="ListBullet"/>
      </w:pPr>
      <w:r>
        <w:t>qualified art appraisers</w:t>
      </w:r>
    </w:p>
    <w:p>
      <w:pPr>
        <w:pStyle w:val="ListBullet"/>
      </w:pPr>
      <w:r>
        <w:t>insurance specialists</w:t>
      </w:r>
    </w:p>
    <w:p>
      <w:pPr>
        <w:pStyle w:val="ListBullet"/>
      </w:pPr>
      <w:r>
        <w:t>conservators and collection managers</w:t>
      </w:r>
    </w:p>
    <w:p>
      <w:pPr>
        <w:pStyle w:val="ListBullet"/>
      </w:pPr>
      <w:r>
        <w:t>museum and institutional specialists</w:t>
      </w:r>
    </w:p>
    <w:p>
      <w:pPr>
        <w:pStyle w:val="ListBullet"/>
      </w:pPr>
      <w:r>
        <w:t>philanthropic advisers</w:t>
      </w:r>
    </w:p>
    <w:p>
      <w:pPr>
        <w:pStyle w:val="ListBullet"/>
      </w:pPr>
      <w:r>
        <w:t>family-office professionals</w:t>
      </w:r>
    </w:p>
    <w:p>
      <w:pPr>
        <w:pStyle w:val="ListBullet"/>
      </w:pPr>
      <w:r>
        <w:t>art-market specialists where sale or acquisition expertise is relevant</w:t>
      </w:r>
    </w:p>
    <w:p>
      <w:r>
        <w:t>The commercial value is not merely knowing these people. It is knowing when each specialty matters, what question needs to be answered, and how the answers interact with the collection-level decision.</w:t>
      </w:r>
    </w:p>
    <w:p>
      <w:pPr>
        <w:pStyle w:val="Heading1"/>
      </w:pPr>
      <w:r>
        <w:t>16. Market signals from adjacent firms</w:t>
      </w:r>
    </w:p>
    <w:p>
      <w:r>
        <w:t>Competitive research has found traditional art advisers with decades of art-industry experience, but it has also found adjacent models in which professionals coordinate complex private assets for families and family offices without personally replacing every technical specialist.</w:t>
      </w:r>
    </w:p>
    <w:p>
      <w:r>
        <w:t>This is encouraging for Nariway. It suggests that owner-side coordination and special-project leadership can be a legitimate role. Nariway should not try to beat traditional advisers at connoisseurship, dealer networks, or transaction history. It should compete on a different combination: finance, strategy, rigorous research, collection precedent, succession and institutional options, and multidisciplinary coordination.</w:t>
      </w:r>
    </w:p>
    <w:p>
      <w:pPr>
        <w:pStyle w:val="Heading1"/>
      </w:pPr>
      <w:r>
        <w:t>17. Elizabeth Attew: useful signal, no action required</w:t>
      </w:r>
    </w:p>
    <w:p>
      <w:r>
        <w:t>Elizabeth Attew recently initiated a LinkedIn connection and the invitation was accepted. Her positioning around special projects, family offices, collector cars, legacy, and passion assets makes her an interesting adjacent-market connection.</w:t>
      </w:r>
    </w:p>
    <w:p>
      <w:r>
        <w:t>No immediate outreach is necessary. Follow what she publishes. Once Nariway has a strong new public object, such as a relaunched Artobiography or the first Nariway Briefing, a natural, non-sales message may make sense. The more important strategic lesson is that professionals can create value by understanding the family, the asset, the objective, and the specialist ecosystem well enough to coordinate cross-disciplinary work.</w:t>
      </w:r>
    </w:p>
    <w:p>
      <w:pPr>
        <w:pStyle w:val="Heading1"/>
      </w:pPr>
      <w:r>
        <w:t>18. Sponsorship and partnership possibilities</w:t>
      </w:r>
    </w:p>
    <w:p>
      <w:r>
        <w:t>Council research suggests three possible relationships over time:</w:t>
      </w:r>
    </w:p>
    <w:p>
      <w:pPr>
        <w:pStyle w:val="ListBullet"/>
      </w:pPr>
      <w:r>
        <w:t>Nariway pays a council selectively for access or sponsorship when the experiment is measurable.</w:t>
      </w:r>
    </w:p>
    <w:p>
      <w:pPr>
        <w:pStyle w:val="ListBullet"/>
      </w:pPr>
      <w:r>
        <w:t>A professional firm eventually supports a Nariway research publication without editorial influence.</w:t>
      </w:r>
    </w:p>
    <w:p>
      <w:pPr>
        <w:pStyle w:val="ListBullet"/>
      </w:pPr>
      <w:r>
        <w:t>A council or professional association distributes Nariway research because it is useful to members, potentially without money changing hands.</w:t>
      </w:r>
    </w:p>
    <w:p>
      <w:r>
        <w:t>Potential future underwriters could include trust companies, private banks, insurers, appraisal firms, law firms, and other businesses that already spend money to reach estate-planning and family-office professionals. Editorial independence must be explicit.</w:t>
      </w:r>
    </w:p>
    <w:p>
      <w:pPr>
        <w:pStyle w:val="Heading1"/>
      </w:pPr>
      <w:r>
        <w:t>19. Near-term operating plan</w:t>
      </w:r>
    </w:p>
    <w:p>
      <w:r>
        <w:t>The business does not need ten simultaneous initiatives. The next phase should be deliberately small and observable.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Timing</w:t>
            </w:r>
          </w:p>
        </w:tc>
        <w:tc>
          <w:tcPr>
            <w:tcW w:type="dxa" w:w="3264"/>
          </w:tcPr>
          <w:p>
            <w:r>
              <w:t>Action</w:t>
            </w:r>
          </w:p>
        </w:tc>
        <w:tc>
          <w:tcPr>
            <w:tcW w:type="dxa" w:w="3264"/>
          </w:tcPr>
          <w:p>
            <w:r>
              <w:t>Purpose</w:t>
            </w:r>
          </w:p>
        </w:tc>
      </w:tr>
      <w:tr>
        <w:tc>
          <w:tcPr>
            <w:tcW w:type="dxa" w:w="3264"/>
          </w:tcPr>
          <w:p>
            <w:r>
              <w:t>Now</w:t>
            </w:r>
          </w:p>
        </w:tc>
        <w:tc>
          <w:tcPr>
            <w:tcW w:type="dxa" w:w="3264"/>
          </w:tcPr>
          <w:p>
            <w:r>
              <w:t>Keep the Collection Index live and stable.</w:t>
            </w:r>
          </w:p>
        </w:tc>
        <w:tc>
          <w:tcPr>
            <w:tcW w:type="dxa" w:w="3264"/>
          </w:tcPr>
          <w:p>
            <w:r>
              <w:t>Evidence and credibility.</w:t>
            </w:r>
          </w:p>
        </w:tc>
      </w:tr>
      <w:tr>
        <w:tc>
          <w:tcPr>
            <w:tcW w:type="dxa" w:w="3264"/>
          </w:tcPr>
          <w:p>
            <w:r>
              <w:t>Now</w:t>
            </w:r>
          </w:p>
        </w:tc>
        <w:tc>
          <w:tcPr>
            <w:tcW w:type="dxa" w:w="3264"/>
          </w:tcPr>
          <w:p>
            <w:r>
              <w:t>Continue the Wave 1 Knowledge Base entries through publication-grade research and design.</w:t>
            </w:r>
          </w:p>
        </w:tc>
        <w:tc>
          <w:tcPr>
            <w:tcW w:type="dxa" w:w="3264"/>
          </w:tcPr>
          <w:p>
            <w:r>
              <w:t>Make the focused expertise visible.</w:t>
            </w:r>
          </w:p>
        </w:tc>
      </w:tr>
      <w:tr>
        <w:tc>
          <w:tcPr>
            <w:tcW w:type="dxa" w:w="3264"/>
          </w:tcPr>
          <w:p>
            <w:r>
              <w:t>Now / next issue</w:t>
            </w:r>
          </w:p>
        </w:tc>
        <w:tc>
          <w:tcPr>
            <w:tcW w:type="dxa" w:w="3264"/>
          </w:tcPr>
          <w:p>
            <w:r>
              <w:t>Relaunch Artobiography in the weekly private-collections format.</w:t>
            </w:r>
          </w:p>
        </w:tc>
        <w:tc>
          <w:tcPr>
            <w:tcW w:type="dxa" w:w="3264"/>
          </w:tcPr>
          <w:p>
            <w:r>
              <w:t>Build frequency, audience, and research feedback loop.</w:t>
            </w:r>
          </w:p>
        </w:tc>
      </w:tr>
      <w:tr>
        <w:tc>
          <w:tcPr>
            <w:tcW w:type="dxa" w:w="3264"/>
          </w:tcPr>
          <w:p>
            <w:r>
              <w:t>September</w:t>
            </w:r>
          </w:p>
        </w:tc>
        <w:tc>
          <w:tcPr>
            <w:tcW w:type="dxa" w:w="3264"/>
          </w:tcPr>
          <w:p>
            <w:r>
              <w:t>Attend Greater NJ Estate Planning Council as a guest.</w:t>
            </w:r>
          </w:p>
        </w:tc>
        <w:tc>
          <w:tcPr>
            <w:tcW w:type="dxa" w:w="3264"/>
          </w:tcPr>
          <w:p>
            <w:r>
              <w:t>Observe the community and test natural conversations.</w:t>
            </w:r>
          </w:p>
        </w:tc>
      </w:tr>
      <w:tr>
        <w:tc>
          <w:tcPr>
            <w:tcW w:type="dxa" w:w="3264"/>
          </w:tcPr>
          <w:p>
            <w:r>
              <w:t>September / October</w:t>
            </w:r>
          </w:p>
        </w:tc>
        <w:tc>
          <w:tcPr>
            <w:tcW w:type="dxa" w:w="3264"/>
          </w:tcPr>
          <w:p>
            <w:r>
              <w:t>Attend one NYC or Westchester program.</w:t>
            </w:r>
          </w:p>
        </w:tc>
        <w:tc>
          <w:tcPr>
            <w:tcW w:type="dxa" w:w="3264"/>
          </w:tcPr>
          <w:p>
            <w:r>
              <w:t>Compare professional environments.</w:t>
            </w:r>
          </w:p>
        </w:tc>
      </w:tr>
      <w:tr>
        <w:tc>
          <w:tcPr>
            <w:tcW w:type="dxa" w:w="3264"/>
          </w:tcPr>
          <w:p>
            <w:r>
              <w:t>Fall</w:t>
            </w:r>
          </w:p>
        </w:tc>
        <w:tc>
          <w:tcPr>
            <w:tcW w:type="dxa" w:w="3264"/>
          </w:tcPr>
          <w:p>
            <w:r>
              <w:t>Develop Nariway Briefing No. 01, What Happens to the Collection?</w:t>
            </w:r>
          </w:p>
        </w:tc>
        <w:tc>
          <w:tcPr>
            <w:tcW w:type="dxa" w:w="3264"/>
          </w:tcPr>
          <w:p>
            <w:r>
              <w:t>Create the high-quality professional marketing and distribution object.</w:t>
            </w:r>
          </w:p>
        </w:tc>
      </w:tr>
      <w:tr>
        <w:tc>
          <w:tcPr>
            <w:tcW w:type="dxa" w:w="3264"/>
          </w:tcPr>
          <w:p>
            <w:r>
              <w:t>Late fall / winter</w:t>
            </w:r>
          </w:p>
        </w:tc>
        <w:tc>
          <w:tcPr>
            <w:tcW w:type="dxa" w:w="3264"/>
          </w:tcPr>
          <w:p>
            <w:r>
              <w:t>Test Palm Beach and/or Miami around existing programs.</w:t>
            </w:r>
          </w:p>
        </w:tc>
        <w:tc>
          <w:tcPr>
            <w:tcW w:type="dxa" w:w="3264"/>
          </w:tcPr>
          <w:p>
            <w:r>
              <w:t>Test publishing and cross-disciplinary distribution in high-wealth markets.</w:t>
            </w:r>
          </w:p>
        </w:tc>
      </w:tr>
      <w:tr>
        <w:tc>
          <w:tcPr>
            <w:tcW w:type="dxa" w:w="3264"/>
          </w:tcPr>
          <w:p>
            <w:r>
              <w:t>Ongoing</w:t>
            </w:r>
          </w:p>
        </w:tc>
        <w:tc>
          <w:tcPr>
            <w:tcW w:type="dxa" w:w="3264"/>
          </w:tcPr>
          <w:p>
            <w:r>
              <w:t>Track referral and credibility signals.</w:t>
            </w:r>
          </w:p>
        </w:tc>
        <w:tc>
          <w:tcPr>
            <w:tcW w:type="dxa" w:w="3264"/>
          </w:tcPr>
          <w:p>
            <w:r>
              <w:t>Learn what converts research authority into trusted introductions.</w:t>
            </w:r>
          </w:p>
        </w:tc>
      </w:tr>
    </w:tbl>
    <w:p>
      <w:pPr>
        <w:pStyle w:val="Heading1"/>
      </w:pPr>
      <w:r>
        <w:t>20. What not to do right now</w:t>
      </w:r>
    </w:p>
    <w:p>
      <w:pPr>
        <w:pStyle w:val="ListBullet"/>
      </w:pPr>
      <w:r>
        <w:t>Do not expand the Knowledge Base simply to fill an architecture.</w:t>
      </w:r>
    </w:p>
    <w:p>
      <w:pPr>
        <w:pStyle w:val="ListBullet"/>
      </w:pPr>
      <w:r>
        <w:t>Do not restart an interview-heavy publication model that is not enjoyable or sustainable.</w:t>
      </w:r>
    </w:p>
    <w:p>
      <w:pPr>
        <w:pStyle w:val="ListBullet"/>
      </w:pPr>
      <w:r>
        <w:t>Do not launch a mass cold-outreach campaign.</w:t>
      </w:r>
    </w:p>
    <w:p>
      <w:pPr>
        <w:pStyle w:val="ListBullet"/>
      </w:pPr>
      <w:r>
        <w:t>Do not pursue multiple credentials before the market tells us they matter.</w:t>
      </w:r>
    </w:p>
    <w:p>
      <w:pPr>
        <w:pStyle w:val="ListBullet"/>
      </w:pPr>
      <w:r>
        <w:t>Do not try to become a full-service art advisory.</w:t>
      </w:r>
    </w:p>
    <w:p>
      <w:pPr>
        <w:pStyle w:val="ListBullet"/>
      </w:pPr>
      <w:r>
        <w:t>Do not dilute Nariway into all passion assets.</w:t>
      </w:r>
    </w:p>
    <w:p>
      <w:pPr>
        <w:pStyle w:val="ListBullet"/>
      </w:pPr>
      <w:r>
        <w:t>Do not overbuild service packages before professionals and families react to the proposition.</w:t>
      </w:r>
    </w:p>
    <w:p>
      <w:pPr>
        <w:pStyle w:val="ListBullet"/>
      </w:pPr>
      <w:r>
        <w:t>Do not hide useful research behind a paywall merely because competitors publish little.</w:t>
      </w:r>
    </w:p>
    <w:p>
      <w:pPr>
        <w:pStyle w:val="ListBullet"/>
      </w:pPr>
      <w:r>
        <w:t>Do not let website design drift away from the focused long-term-future-of-private-art-collections proposition.</w:t>
      </w:r>
    </w:p>
    <w:p>
      <w:pPr>
        <w:pStyle w:val="Heading1"/>
      </w:pPr>
      <w:r>
        <w:t>21. What success looks like over the next 6 to 12 months</w:t>
      </w:r>
    </w:p>
    <w:p>
      <w:r>
        <w:t>The immediate goal is not seven figures. The immediate goal is to create evidence that a seven-figure business can exist.</w:t>
      </w:r>
    </w:p>
    <w:p>
      <w:pPr>
        <w:pStyle w:val="ListBullet"/>
      </w:pPr>
      <w:r>
        <w:t>Professionals begin forwarding Nariway research to colleagues or clients.</w:t>
      </w:r>
    </w:p>
    <w:p>
      <w:pPr>
        <w:pStyle w:val="ListBullet"/>
      </w:pPr>
      <w:r>
        <w:t>Estate-planning or family-office professionals ask to receive future briefings.</w:t>
      </w:r>
    </w:p>
    <w:p>
      <w:pPr>
        <w:pStyle w:val="ListBullet"/>
      </w:pPr>
      <w:r>
        <w:t>Nariway is invited to contribute research, write, exhibit, sponsor selectively, or participate in a professional program.</w:t>
      </w:r>
    </w:p>
    <w:p>
      <w:pPr>
        <w:pStyle w:val="ListBullet"/>
      </w:pPr>
      <w:r>
        <w:t>Someone says, in substance, 'I have a family you should talk to.'</w:t>
      </w:r>
    </w:p>
    <w:p>
      <w:pPr>
        <w:pStyle w:val="ListBullet"/>
      </w:pPr>
      <w:r>
        <w:t>A collector, heir, trustee, or family office asks Nariway to look at a real collection situation.</w:t>
      </w:r>
    </w:p>
    <w:p>
      <w:pPr>
        <w:pStyle w:val="ListBullet"/>
      </w:pPr>
      <w:r>
        <w:t>The first bounded paid engagement occurs.</w:t>
      </w:r>
    </w:p>
    <w:p>
      <w:pPr>
        <w:pStyle w:val="ListBullet"/>
      </w:pPr>
      <w:r>
        <w:t>The engagement produces evidence about what clients actually value and what they will pay for.</w:t>
      </w:r>
    </w:p>
    <w:p>
      <w:pPr>
        <w:pStyle w:val="ListBullet"/>
      </w:pPr>
      <w:r>
        <w:t>The advisory offer becomes more precise from real work rather than further speculation.</w:t>
      </w:r>
    </w:p>
    <w:p>
      <w:r>
        <w:t>Only after these signals should Nariway optimize pricing, staffing, recurring revenue, sponsorship, or a larger-scale commercial model.</w:t>
      </w:r>
    </w:p>
    <w:p>
      <w:pPr>
        <w:pStyle w:val="Heading1"/>
      </w:pPr>
      <w:r>
        <w:t>22. Long-term seven-figure logic</w:t>
      </w:r>
    </w:p>
    <w:p>
      <w:r>
        <w:t>The seven-figure goal remains plausible only if Nariway develops more than a founder selling hours. The likely long-term structure is a high-value advisory core supported by proprietary research, professional distribution, and leverage.</w:t>
      </w:r>
    </w:p>
    <w:p>
      <w:r>
        <w:t>Potential leverage can eventually come from higher-value collection engagements, repeat work with family offices and professional firms, research sponsorship or underwriting, paid professional publications or institutional licenses where appropriate, and a networked delivery model using independent specialists rather than a large employee base. These are future hypotheses, not commitments.</w:t>
      </w:r>
    </w:p>
    <w:p>
      <w:r>
        <w:t>The most important near-term task is to prove that Nariway owns a valuable problem and can become a trusted participant when that problem appears.</w:t>
      </w:r>
    </w:p>
    <w:p>
      <w:pPr>
        <w:pStyle w:val="Heading1"/>
      </w:pPr>
      <w:r>
        <w:t>23. Governing positioning language</w:t>
      </w:r>
    </w:p>
    <w:p>
      <w:r>
        <w:t>Use these ideas consistently across future work:</w:t>
      </w:r>
    </w:p>
    <w:p>
      <w:pPr>
        <w:pStyle w:val="ListBullet"/>
      </w:pPr>
      <w:r>
        <w:t>Private art collections, not 'significant private collections.'</w:t>
      </w:r>
    </w:p>
    <w:p>
      <w:pPr>
        <w:pStyle w:val="ListBullet"/>
      </w:pPr>
      <w:r>
        <w:t>The long-term future of private art collections.</w:t>
      </w:r>
    </w:p>
    <w:p>
      <w:pPr>
        <w:pStyle w:val="ListBullet"/>
      </w:pPr>
      <w:r>
        <w:t>Research and advisory focused on what happens to a collection over time.</w:t>
      </w:r>
    </w:p>
    <w:p>
      <w:pPr>
        <w:pStyle w:val="ListBullet"/>
      </w:pPr>
      <w:r>
        <w:t>Independent, owner-side perspective.</w:t>
      </w:r>
    </w:p>
    <w:p>
      <w:pPr>
        <w:pStyle w:val="ListBullet"/>
      </w:pPr>
      <w:r>
        <w:t>Precedent from what other collections have actually done.</w:t>
      </w:r>
    </w:p>
    <w:p>
      <w:pPr>
        <w:pStyle w:val="ListBullet"/>
      </w:pPr>
      <w:r>
        <w:t>Works alongside specialist advisers rather than replacing them.</w:t>
      </w:r>
    </w:p>
    <w:p>
      <w:pPr>
        <w:pStyle w:val="ListBullet"/>
      </w:pPr>
      <w:r>
        <w:t>No transaction commission tied to the route selected.</w:t>
      </w:r>
    </w:p>
    <w:p>
      <w:pPr>
        <w:pStyle w:val="ListBullet"/>
      </w:pPr>
      <w:r>
        <w:t>Public research demonstrates capability; paid work applies it to the private situation.</w:t>
      </w:r>
    </w:p>
    <w:p>
      <w:pPr>
        <w:pStyle w:val="Heading1"/>
      </w:pPr>
      <w:r>
        <w:t>24. Editorial and language rules</w:t>
      </w:r>
    </w:p>
    <w:p>
      <w:r>
        <w:t>Keep the language simple, precise, restrained, and sophisticated. Do not sound like marketing copy. Avoid exaggerated claims, consultant jargon, and clever phrasing that calls attention to itself.</w:t>
      </w:r>
    </w:p>
    <w:p>
      <w:r>
        <w:t>Do not use em dashes. Use commas, parentheses, semicolons, or separate sentences instead.</w:t>
      </w:r>
    </w:p>
    <w:p>
      <w:r>
        <w:t>Do not use 'significant' as a default qualifier for private collections. Prefer 'private art collections' or 'private collections' when the art context is already clear.</w:t>
      </w:r>
    </w:p>
    <w:p>
      <w:r>
        <w:t>Do not imply legal, tax, appraisal, investment, or museum expertise beyond what Nariway actually owns. Distinguish sourced fact, Nariway classification, cross-case finding, and professional advice.</w:t>
      </w:r>
    </w:p>
    <w:p>
      <w:pPr>
        <w:pStyle w:val="Heading1"/>
      </w:pPr>
      <w:r>
        <w:t>25. Instructions for Claude Code</w:t>
      </w:r>
    </w:p>
    <w:p>
      <w:r>
        <w:t>Use this brief as the current strategic filter for all Nariway work. Before adding research, a page, a data field, a publication section, or a business feature, ask:</w:t>
      </w:r>
    </w:p>
    <w:p>
      <w:pPr>
        <w:pStyle w:val="ListBullet"/>
      </w:pPr>
      <w:r>
        <w:t>Does this help explain, research, compare, or manage the long-term future of a private art collection?</w:t>
      </w:r>
    </w:p>
    <w:p>
      <w:pPr>
        <w:pStyle w:val="ListBullet"/>
      </w:pPr>
      <w:r>
        <w:t>Does it improve Nariway's evidence base, professional usefulness, distribution, credibility, or ability to deliver the eventual advisory engagement?</w:t>
      </w:r>
    </w:p>
    <w:p>
      <w:pPr>
        <w:pStyle w:val="ListBullet"/>
      </w:pPr>
      <w:r>
        <w:t>Is it public knowledge that should be shared, or collection-specific application that belongs in paid work?</w:t>
      </w:r>
    </w:p>
    <w:p>
      <w:pPr>
        <w:pStyle w:val="ListBullet"/>
      </w:pPr>
      <w:r>
        <w:t>Does it reinforce the distinction between Nariway and traditional art advisory, appraisal, legal, tax, or museum consulting?</w:t>
      </w:r>
    </w:p>
    <w:p>
      <w:pPr>
        <w:pStyle w:val="ListBullet"/>
      </w:pPr>
      <w:r>
        <w:t>Is this supported by enough evidence to publish, or are we building a container because the architecture says it should exist?</w:t>
      </w:r>
    </w:p>
    <w:p>
      <w:r>
        <w:t>If the answer is no, defer it. The goal is not to build the largest art-collection website. The goal is to build the most credible and useful research-and-advisory platform for the long-term future of private art collections, then test whether that credibility converts into trusted introductions and paid work.</w:t>
      </w:r>
    </w:p>
    <w:p>
      <w:pPr>
        <w:pStyle w:val="Heading1"/>
      </w:pPr>
      <w:r>
        <w:t>26. Tomorrow's recommended starting point</w:t>
      </w:r>
    </w:p>
    <w:p>
      <w:r>
        <w:t>Return to the Knowledge Base, but review the Wave 1 content plan and the Great Wealth Transfer architecture against this strategy before designing anything further. The next website copy pass should follow after the business proposition is translated into one clear homepage narrative and one clear advisory page.</w:t>
      </w:r>
    </w:p>
    <w:p>
      <w:r>
        <w:t>Do not redesign for the sake of redesigning. The Collection Index design is working. Preserve what is elegant and use the business proposition to decide what the rest of the site needs to say.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val="0"/>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before="200" w:after="60"/>
    </w:pPr>
    <w:rPr>
      <w:rFonts w:ascii="Aptos" w:hAnsi="Aptos"/>
      <w:b/>
      <w:cap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