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34" w:before="134"/>
        <w:ind w:firstLine="0" w:left="0" w:right="0"/>
      </w:pPr>
      <w:r>
        <w:t>Описание проекта.</w:t>
      </w:r>
    </w:p>
    <w:p w14:paraId="02000000">
      <w:pPr>
        <w:spacing w:after="134" w:before="134"/>
        <w:ind w:firstLine="0" w:left="0" w:right="0"/>
      </w:pPr>
      <w:r>
        <w:t>Финансовая компания, работающая с венчурными инвестициями, хочет понять закономерности финансирования стартапов и оценить перспективы выхода на рынок с покупкой и развитием компаний. Для этого необходимо провести исследование на исторических данных.</w:t>
      </w:r>
    </w:p>
    <w:p w14:paraId="03000000">
      <w:r>
        <w:t>Задача проекта — подготовить датасет к работе, исследовать динамику и структуру финансирования стартапов и ответить на вопросы, важные для оценки инвестиционных стратегий.</w:t>
      </w:r>
    </w:p>
    <w:p w14:paraId="04000000">
      <w:r>
        <w:t>Цели проекта:</w:t>
      </w:r>
    </w:p>
    <w:p w14:paraId="05000000">
      <w:r>
        <w:t>Провести предобработку данных, убрать дубликаты и пропуски, проверить корректность числовых и временных значений.</w:t>
      </w:r>
    </w:p>
    <w:p w14:paraId="06000000">
      <w:r>
        <w:t>Выделить группы компаний по срокам финансирования и сравнить их по количеству и объёму инвестиций.</w:t>
      </w:r>
    </w:p>
    <w:p w14:paraId="07000000">
      <w:r>
        <w:t>Классифицировать сегменты рынка на массовые, средние и нишевые и учесть это в дальнейшем анализе.</w:t>
      </w:r>
    </w:p>
    <w:p w14:paraId="08000000">
      <w:r>
        <w:t>Определить типичные и аномальные значения объёмов финансирования, исключить выбросы и ограничить период исследования.</w:t>
      </w:r>
    </w:p>
    <w:p w14:paraId="09000000">
      <w:r>
        <w:t>Сравнить популярность и объёмы разных типов финансирования.</w:t>
      </w:r>
    </w:p>
    <w:p w14:paraId="0A000000">
      <w:r>
        <w:t>Проанализировать динамику раундов и объёмов инвестиций по годам, а также изменения в массовых сегментах рынка.</w:t>
      </w:r>
    </w:p>
    <w:p w14:paraId="0B000000">
      <w:r>
        <w:t>Рассчитать долю возврата средств для разных типов финансирования и оценить её устойчивость.</w:t>
      </w:r>
    </w:p>
    <w:p w14:paraId="0C000000">
      <w:r>
        <w:t>Подвести итоговые выводы и дать рекомендации, куда и каким образом было бы целесообразно инвестировать, если бы на дворе был 2015 год.</w:t>
      </w:r>
    </w:p>
    <w:p w14:paraId="0D000000"/>
    <w:p w14:paraId="0E000000">
      <w:r>
        <w:t>Выводы:</w:t>
      </w:r>
    </w:p>
    <w:p w14:paraId="0F000000">
      <w:r>
        <w:t xml:space="preserve">В целях инвестирования стоит рассмотреть отрасли биотехнологий, здравоохранения, программного обеспечения, так как они показывают наиболее быстрый и уверенный рост. Среди типов финансирования наиболее уместен венчурный тип финансирования, так как в будущем он принесет стабильный прирост капитала. </w:t>
      </w:r>
    </w:p>
    <w:p w14:paraId="10000000">
      <w:r>
        <w:t>Итоги проекта: При подготовке проекта была проведена предобработка данных. В столбце funding_total_usd убрано выделение разрядов, он приведен его к числовому типу. Столбцы с датой и временем приведены к необходимому типу.</w:t>
      </w:r>
    </w:p>
    <w:p w14:paraId="11000000">
      <w:r>
        <w:t>В датасете cb_returns столбец year сделан индексом всего датасета.</w:t>
      </w:r>
    </w:p>
    <w:p w14:paraId="12000000">
      <w:r>
        <w:t>Пропуски в текстовых столбцах заполнены заглушками.</w:t>
      </w:r>
    </w:p>
    <w:p w14:paraId="13000000">
      <w:r>
        <w:t>Полные дубликаты в данных и пропуски в funding_total_usd обработаны.</w:t>
      </w:r>
    </w:p>
    <w:p w14:paraId="14000000">
      <w:r>
        <w:t>Всего в датасете после предобработки осталось после удаления полных дубликатов и строк с отсутствием информации в столбце с финансированием 40907 строки. Удалено 25 % данных.</w:t>
      </w:r>
    </w:p>
    <w:p w14:paraId="15000000">
      <w:r>
        <w:t>Проведено разделение компаний на 3 категории: единичное финансирование, компании со сроком финансирования до года, компании со сроком финансирования больше года.</w:t>
      </w:r>
    </w:p>
    <w:p w14:paraId="16000000">
      <w:r>
        <w:t>Компании с единичным финансированием имеют наибольшую долю на рынке (90%) и наибольшую долю инвестиций (65 %). Компании со сроком финансирования более года имеют    10 % рынка и 35 % инвестиций. Компании со сроком финансирования до года имеют наименьшую долю рынка и наименьшее количество инвестиций.</w:t>
      </w:r>
    </w:p>
    <w:p w14:paraId="17000000">
      <w:r>
        <w:t>Далее проанализированы сегменты рынка, построен график, где массовые сегменты оставлены без изменения, нишевые и средние объединены в два соответствующих сегмента, сортировка проведена от сегмента с наибольшим количеством компаний к наименьшему.</w:t>
      </w:r>
    </w:p>
    <w:p w14:paraId="18000000">
      <w:r>
        <w:t>Наиболее типичный размер финансирования: 350 млн долларов - 10 млн долларов.</w:t>
      </w:r>
    </w:p>
    <w:p w14:paraId="19000000">
      <w:r>
        <w:t>Определен топ сегментов рынка с наибольшей долей компаний, получивших аномальное финансирование.</w:t>
      </w:r>
    </w:p>
    <w:p w14:paraId="1A000000">
      <w:r>
        <w:t>За 2014 год предоставлены полные данные. Исключены компании, которые получили аномальное финансирование.</w:t>
      </w:r>
    </w:p>
    <w:p w14:paraId="1B000000">
      <w:r>
        <w:t>Оставлены компании, которые получили финансирование в годы, когда было зафиксировано 50 или более раундов финансирования.</w:t>
      </w:r>
    </w:p>
    <w:p w14:paraId="1C000000">
      <w:r>
        <w:t xml:space="preserve">Построен график, показывающий, какие типы финансирования в сумме привлекли больше всего денег. </w:t>
      </w:r>
    </w:p>
    <w:p w14:paraId="1D000000">
      <w:r>
        <w:t>Построен график, показывающий популярность разных типов финансирования.</w:t>
      </w:r>
    </w:p>
    <w:p w14:paraId="1E000000">
      <w:r>
        <w:t>Тип финансирования Angel - сумма инвестиций от бизнес-ангелов используется часто, но объемы финансирования не большие в сравнениия с другими типами инвестирования. Инвестиции на посевной стадии seed характеризуется высокой частотой, но не таким большим объемом.</w:t>
      </w:r>
    </w:p>
    <w:p w14:paraId="1F000000">
      <w:r>
        <w:t>Построен график суммарных объёмов возвратов от разных типов финансирования за весь период на основе дополнительного датасета.</w:t>
      </w:r>
    </w:p>
    <w:p w14:paraId="20000000">
      <w:r>
        <w:t xml:space="preserve">В 2005 году типичный размер одного раунда финансирования был максимальным и составлял 5 млн. долларов. </w:t>
      </w:r>
    </w:p>
    <w:p w14:paraId="21000000">
      <w:r>
        <w:t>Количество раундов в 2014 году превышает 17500, что более, чем в 2 раз выше, чем в 2012 году. График активности рынка схож с графиком квадратической функции, то есть рынок растет очень активно. Стоимость одного раунда в 2014 году также выросла по сравнению с 2013 году, но незначительно.</w:t>
      </w:r>
    </w:p>
    <w:p w14:paraId="22000000">
      <w:r>
        <w:t>&lt;br&gt;Наиболее быстрый и уверенный рост показывают сегменты: биотехнологии, здравоохранение, программное обеспечение.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2026-08-13T18:44:19Z</dcterms:modified>
</cp:coreProperties>
</file>