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Описание проекта. К нам обратились представители интернет-магазина BitMotion Kit, в котором продаются геймифицированные товары для тех, кто ведёт здоровый образ жизни. У него есть своя целевая аудитория, даже появились хиты продаж: эспандер со счётчиком и напоминанием, так и подстольный велотренажёр с Bluetooth.</w:t>
      </w:r>
    </w:p>
    <w:p w14:paraId="02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будущем компания хочет расширить ассортимент товаров. Но перед этим нужно решить одну проблему. Интерфейс онлайн-магазина слишком сложен для пользователей — об этом говорят отзывы.</w:t>
      </w:r>
    </w:p>
    <w:p w14:paraId="03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Чтобы привлечь новых клиентов и увеличить число продаж, владельцы магазина разработали новую версию сайта и протестировали его на части пользователей. По задумке, это решение доказуемо повысит количество пользователей, которые совершат покупку.</w:t>
      </w:r>
    </w:p>
    <w:p w14:paraId="04000000">
      <w:pPr>
        <w:rPr>
          <w:rFonts w:ascii="Times New Roman" w:hAnsi="Times New Roman"/>
          <w:sz w:val="24"/>
        </w:rPr>
      </w:pPr>
    </w:p>
    <w:p w14:paraId="05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Задача проекта — провести оценку результатов A/B-теста. </w:t>
      </w:r>
    </w:p>
    <w:p w14:paraId="06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4"/>
          <w:highlight w:val="white"/>
        </w:rPr>
        <w:t>Цели исследования: выделить пользователей, участвующих в тесте interface_eu_test, и проверить соответствие требованиям технического задания, равномерность распределения пользователей по группам теста, отсутствие пересечений с конкурирующим тестом (нет пользователей, участвующих одновременно в двух тестовых группах); проанализировать данные о пользовательской активност: оставить только события, связанные с участвующими в изучаемом тесте пользователями, рассчитать время совершения события пользователем после регистрации и оставить только те события, которые были выполнены в течение первых семи дней с момента регистрации; оценить достаточность выборки для получения статистически значимых результатов A/B-теста; рассчитать конверсию в покупку пользователей групп А и В; оценить изменение конверсии подходящим статистическим тестом, учитывая все этапы проверки гипотез.</w:t>
      </w:r>
    </w:p>
    <w:p w14:paraId="07000000">
      <w:pPr>
        <w:rPr>
          <w:rFonts w:ascii="Times New Roman" w:hAnsi="Times New Roman"/>
          <w:sz w:val="24"/>
        </w:rPr>
      </w:pPr>
    </w:p>
    <w:p w14:paraId="08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>Итоговый вывод: упрощение интерфейса приводит к увеличению конверсии на 3 и более процентных пункта в течение 7 дней после регистрации. Ожидаемый эффект в изменении конверсии достигнут.</w:t>
      </w:r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MyOffice-CoreFramework-Windows/25-982.666.6545.616.0@RELEASE-DESKTOP-WASSABI_HOME-RC-RENEW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2026-08-14T06:58:39Z</dcterms:modified>
</cp:coreProperties>
</file>