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9632D" w14:textId="77777777" w:rsidR="00093652" w:rsidRDefault="00093652" w:rsidP="00FA7282"/>
    <w:p w14:paraId="3209F0FB" w14:textId="5AB31697" w:rsidR="006A09B0" w:rsidRPr="00FA7282" w:rsidRDefault="001239B4" w:rsidP="00FA7282">
      <w:r w:rsidRPr="001239B4">
        <w:drawing>
          <wp:inline distT="0" distB="0" distL="0" distR="0" wp14:anchorId="23769817" wp14:editId="6D07EB97">
            <wp:extent cx="5731510" cy="3218180"/>
            <wp:effectExtent l="0" t="0" r="2540" b="1270"/>
            <wp:docPr id="1278139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139134" name=""/>
                    <pic:cNvPicPr/>
                  </pic:nvPicPr>
                  <pic:blipFill>
                    <a:blip r:embed="rId8"/>
                    <a:stretch>
                      <a:fillRect/>
                    </a:stretch>
                  </pic:blipFill>
                  <pic:spPr>
                    <a:xfrm>
                      <a:off x="0" y="0"/>
                      <a:ext cx="5731510" cy="3218180"/>
                    </a:xfrm>
                    <a:prstGeom prst="rect">
                      <a:avLst/>
                    </a:prstGeom>
                  </pic:spPr>
                </pic:pic>
              </a:graphicData>
            </a:graphic>
          </wp:inline>
        </w:drawing>
      </w:r>
    </w:p>
    <w:p w14:paraId="0389AC61" w14:textId="77777777" w:rsidR="007D15D2" w:rsidRPr="00A859B5" w:rsidRDefault="007D15D2" w:rsidP="007D15D2">
      <w:pPr>
        <w:rPr>
          <w:b/>
          <w:bCs/>
        </w:rPr>
      </w:pPr>
      <w:r>
        <w:t xml:space="preserve">TRANSCRIPT: </w:t>
      </w:r>
      <w:proofErr w:type="spellStart"/>
      <w:r w:rsidRPr="00A859B5">
        <w:rPr>
          <w:b/>
          <w:bCs/>
        </w:rPr>
        <w:t>Incontinentia</w:t>
      </w:r>
      <w:proofErr w:type="spellEnd"/>
      <w:r w:rsidRPr="00A859B5">
        <w:rPr>
          <w:b/>
          <w:bCs/>
        </w:rPr>
        <w:t xml:space="preserve"> </w:t>
      </w:r>
      <w:proofErr w:type="spellStart"/>
      <w:r w:rsidRPr="00A859B5">
        <w:rPr>
          <w:b/>
          <w:bCs/>
        </w:rPr>
        <w:t>Pigmenti</w:t>
      </w:r>
      <w:proofErr w:type="spellEnd"/>
    </w:p>
    <w:p w14:paraId="53A6AAED" w14:textId="77777777" w:rsidR="007D15D2" w:rsidRDefault="007D15D2" w:rsidP="007D15D2">
      <w:r>
        <w:t>============================================================</w:t>
      </w:r>
    </w:p>
    <w:p w14:paraId="4E5520A4" w14:textId="3B0793AD" w:rsidR="00093652" w:rsidRDefault="007D15D2" w:rsidP="007D15D2">
      <w:r>
        <w:t xml:space="preserve">We're in the ocean learning about </w:t>
      </w:r>
      <w:proofErr w:type="spellStart"/>
      <w:r>
        <w:t>incontinentia</w:t>
      </w:r>
      <w:proofErr w:type="spellEnd"/>
      <w:r>
        <w:t xml:space="preserve"> </w:t>
      </w:r>
      <w:proofErr w:type="spellStart"/>
      <w:r>
        <w:t>pigmenti</w:t>
      </w:r>
      <w:proofErr w:type="spellEnd"/>
      <w:r>
        <w:t xml:space="preserve">. Why the ocean? Because this condition results from a mutation in an essential modulator called Nimo, hence our </w:t>
      </w:r>
      <w:proofErr w:type="spellStart"/>
      <w:r>
        <w:t>favorite</w:t>
      </w:r>
      <w:proofErr w:type="spellEnd"/>
      <w:r>
        <w:t xml:space="preserve"> clown fish. This occurs in an excellent dominant pattern as represented by the domino with an X on it. The loss of function mutation in Nimo prevents activation of NFKAPA-B, which is a regulator of cell proliferation, inflammation, and TNF alpha induced apoptosis. As symbolized by this shark, or as I like to think of it, the teen alpha fish for TNF alpha, he ate no beta fish, and he is about to pop this bubble to represent apoptosis, which is mediated by TNF alpha. This mutation is lethal in males, symbolized by the dead male fish on the seafloor. Because of this, it is primarily seen in women and possibly client-</w:t>
      </w:r>
      <w:proofErr w:type="spellStart"/>
      <w:r>
        <w:t>feltor</w:t>
      </w:r>
      <w:proofErr w:type="spellEnd"/>
      <w:r>
        <w:t xml:space="preserve"> XXY males. Functional mosaicism from lionization and affected females results in a </w:t>
      </w:r>
      <w:proofErr w:type="spellStart"/>
      <w:r>
        <w:t>blaschcoid</w:t>
      </w:r>
      <w:proofErr w:type="spellEnd"/>
      <w:r>
        <w:t xml:space="preserve"> pattern of cutaneous involvement. </w:t>
      </w:r>
      <w:proofErr w:type="gramStart"/>
      <w:r>
        <w:t>So</w:t>
      </w:r>
      <w:proofErr w:type="gramEnd"/>
      <w:r>
        <w:t xml:space="preserve"> </w:t>
      </w:r>
      <w:proofErr w:type="gramStart"/>
      <w:r>
        <w:t>take a look</w:t>
      </w:r>
      <w:proofErr w:type="gramEnd"/>
      <w:r>
        <w:t xml:space="preserve"> at this female fish applying blush in streaks and whorls to represent </w:t>
      </w:r>
      <w:proofErr w:type="spellStart"/>
      <w:r>
        <w:t>blaschcoid</w:t>
      </w:r>
      <w:proofErr w:type="spellEnd"/>
      <w:r>
        <w:t xml:space="preserve"> distribution, which occurs in streaks and whorls on the skin. As an additional reminder, remember that most of these fish have streaks or stripes on their gills. </w:t>
      </w:r>
      <w:proofErr w:type="spellStart"/>
      <w:r>
        <w:t>Incontinentia</w:t>
      </w:r>
      <w:proofErr w:type="spellEnd"/>
      <w:r>
        <w:t xml:space="preserve"> </w:t>
      </w:r>
      <w:proofErr w:type="spellStart"/>
      <w:r>
        <w:t>pigmentae</w:t>
      </w:r>
      <w:proofErr w:type="spellEnd"/>
      <w:r>
        <w:t xml:space="preserve"> is a neuro-ectodermal disorder affecting the skin, teeth, central nervous system, and eyes. Scarring alopecia can occur in about 10 to 20% of patients, which is why the female fish is bald. See how this next fish has a scaly red barnacle stuck to its skin? This represents subungual </w:t>
      </w:r>
      <w:proofErr w:type="spellStart"/>
      <w:r>
        <w:t>tumors</w:t>
      </w:r>
      <w:proofErr w:type="spellEnd"/>
      <w:r>
        <w:t xml:space="preserve"> that can resemble squamous cell carcinomas, which can also be seen in up to 10% of patients. </w:t>
      </w:r>
      <w:proofErr w:type="spellStart"/>
      <w:r>
        <w:t>Pagged</w:t>
      </w:r>
      <w:proofErr w:type="spellEnd"/>
      <w:r>
        <w:t xml:space="preserve"> teeth, conical teeth, and anodontia occurs in about half of patients. This is shown by the fish with cone-shaped teeth, some of which are missing for anodontia. Keep in mind that dental manifestations are </w:t>
      </w:r>
      <w:proofErr w:type="gramStart"/>
      <w:r>
        <w:t>actually the</w:t>
      </w:r>
      <w:proofErr w:type="gramEnd"/>
      <w:r>
        <w:t xml:space="preserve"> most common extracutaneous feature seen in this condition. There are four distinct morphological stages of </w:t>
      </w:r>
      <w:proofErr w:type="spellStart"/>
      <w:r>
        <w:t>incontinentia</w:t>
      </w:r>
      <w:proofErr w:type="spellEnd"/>
      <w:r>
        <w:t xml:space="preserve"> </w:t>
      </w:r>
      <w:proofErr w:type="spellStart"/>
      <w:r>
        <w:t>pigmentae</w:t>
      </w:r>
      <w:proofErr w:type="spellEnd"/>
      <w:r>
        <w:t xml:space="preserve">. Note that patients may not develop all four of these, and there can also be some overlap of the stages. Each stage varies by histological findings. The first stage is the vesicular stage, as shown by the vesicular bubbles on a sponge. The bubbles represent the vesicular stage, which has eosinophilic spongiosis, which is why we made this sponge pink, just like eosinophils. Notice </w:t>
      </w:r>
      <w:r>
        <w:lastRenderedPageBreak/>
        <w:t xml:space="preserve">how some of the bubbles are popped to represent the additional finding of apoptotic </w:t>
      </w:r>
      <w:proofErr w:type="spellStart"/>
      <w:r>
        <w:t>carotinocytes</w:t>
      </w:r>
      <w:proofErr w:type="spellEnd"/>
      <w:r>
        <w:t xml:space="preserve"> in the epidermis. The second stage is the </w:t>
      </w:r>
      <w:proofErr w:type="spellStart"/>
      <w:r>
        <w:t>verucus</w:t>
      </w:r>
      <w:proofErr w:type="spellEnd"/>
      <w:r>
        <w:t xml:space="preserve"> stage, symbolized by the anemone, the finger-like branches of the anemone represent acanthosis of the epidermis. The pink pearls represent the formation of squamous eddies in this stage. The third stage is represented by this dark hyperpigmented coral, representing the hyperpigmented stage. This stage has marked pigment incontinence, hence the dark </w:t>
      </w:r>
      <w:proofErr w:type="spellStart"/>
      <w:r>
        <w:t>colors</w:t>
      </w:r>
      <w:proofErr w:type="spellEnd"/>
      <w:r>
        <w:t xml:space="preserve">, as well as numerous </w:t>
      </w:r>
      <w:proofErr w:type="spellStart"/>
      <w:r>
        <w:t>melanophages</w:t>
      </w:r>
      <w:proofErr w:type="spellEnd"/>
      <w:r>
        <w:t xml:space="preserve"> in the dermis, represented by the melons around the reef. Finally, the last stage is represented by the bleached hyperpigmented coral, representing the hyperpigmented stage. Notice how this coral is </w:t>
      </w:r>
      <w:proofErr w:type="gramStart"/>
      <w:r>
        <w:t>more frail</w:t>
      </w:r>
      <w:proofErr w:type="gramEnd"/>
      <w:r>
        <w:t xml:space="preserve"> representing epidermal atrophy and loss of melanin in the basal layer, hence the white </w:t>
      </w:r>
      <w:proofErr w:type="spellStart"/>
      <w:r>
        <w:t>color</w:t>
      </w:r>
      <w:proofErr w:type="spellEnd"/>
      <w:r>
        <w:t xml:space="preserve"> and absent melons. The severely affected patients can also develop seizures, as well as developmental delays and intellectual impairment, as represented by no other than Dory, who is a little bit mentally impaired, and has the developmental delay confusion question marks around her. Notice how she is also very hyperactive and shaking back and forth representing seizures. The highly affected patients can also have decreased visual acuity and even blindness in some cases. As a result of retinal vascular changes in optic atrophy, this is shown by the shrunken </w:t>
      </w:r>
      <w:proofErr w:type="spellStart"/>
      <w:r>
        <w:t>atrophyed</w:t>
      </w:r>
      <w:proofErr w:type="spellEnd"/>
      <w:r>
        <w:t xml:space="preserve"> eyes on this angler fish. Notice how they are attached to these red vessel-like antennas that symbolize retinal vascular changes. Females with a </w:t>
      </w:r>
      <w:proofErr w:type="spellStart"/>
      <w:r>
        <w:t>misense</w:t>
      </w:r>
      <w:proofErr w:type="spellEnd"/>
      <w:r>
        <w:t xml:space="preserve"> mutation in Nemo have a milder phenotype of incontinence </w:t>
      </w:r>
      <w:proofErr w:type="spellStart"/>
      <w:r>
        <w:t>pigmenti</w:t>
      </w:r>
      <w:proofErr w:type="spellEnd"/>
      <w:r>
        <w:t xml:space="preserve">, as shown by the smiling female fish. They can bear children that are usually male with </w:t>
      </w:r>
      <w:proofErr w:type="spellStart"/>
      <w:r>
        <w:t>hypohydronic</w:t>
      </w:r>
      <w:proofErr w:type="spellEnd"/>
      <w:r>
        <w:t xml:space="preserve"> ectodermal dysplasia with immunodeficiency, as shown by this male fish with </w:t>
      </w:r>
      <w:proofErr w:type="spellStart"/>
      <w:r>
        <w:t>hypohydronic</w:t>
      </w:r>
      <w:proofErr w:type="spellEnd"/>
      <w:r>
        <w:t xml:space="preserve"> dried out skin. Notice his immunodeficiency cane. Alright, let's swim through the symbols one more time. </w:t>
      </w:r>
      <w:proofErr w:type="spellStart"/>
      <w:r>
        <w:t>Incontinentia</w:t>
      </w:r>
      <w:proofErr w:type="spellEnd"/>
      <w:r>
        <w:t xml:space="preserve"> </w:t>
      </w:r>
      <w:proofErr w:type="spellStart"/>
      <w:r>
        <w:t>pigmenti</w:t>
      </w:r>
      <w:proofErr w:type="spellEnd"/>
      <w:r>
        <w:t xml:space="preserve"> is a condition caused by a mutation in the Nemo gene, symbolized by Nemo the clown fish. It's excellent dominant as represented by the domino with an X on it. TNF-</w:t>
      </w:r>
      <w:proofErr w:type="spellStart"/>
      <w:r>
        <w:t>elfas</w:t>
      </w:r>
      <w:proofErr w:type="spellEnd"/>
      <w:r>
        <w:t xml:space="preserve"> role in </w:t>
      </w:r>
      <w:proofErr w:type="spellStart"/>
      <w:r>
        <w:t>epoptosis</w:t>
      </w:r>
      <w:proofErr w:type="spellEnd"/>
      <w:r>
        <w:t xml:space="preserve"> is shown by the shark, or as we like to think of it the teen alpha fish, popping the bubble, indicating TNF-mediated apoptosis. The condition is lethal in males, shown by the dead male fish, but females, and possibly client-</w:t>
      </w:r>
      <w:proofErr w:type="spellStart"/>
      <w:r>
        <w:t>felter</w:t>
      </w:r>
      <w:proofErr w:type="spellEnd"/>
      <w:r>
        <w:t xml:space="preserve"> males, exhibit mosaicism due to lionization, as shown by a female fish. The fish is also applying blush and streaks and whorls to represent the characteristic </w:t>
      </w:r>
      <w:proofErr w:type="spellStart"/>
      <w:r>
        <w:t>blaschcoid</w:t>
      </w:r>
      <w:proofErr w:type="spellEnd"/>
      <w:r>
        <w:t xml:space="preserve"> distribution. </w:t>
      </w:r>
      <w:proofErr w:type="spellStart"/>
      <w:r>
        <w:t>Incontinentia</w:t>
      </w:r>
      <w:proofErr w:type="spellEnd"/>
      <w:r>
        <w:t xml:space="preserve"> </w:t>
      </w:r>
      <w:proofErr w:type="spellStart"/>
      <w:r>
        <w:t>pigmenti</w:t>
      </w:r>
      <w:proofErr w:type="spellEnd"/>
      <w:r>
        <w:t xml:space="preserve"> is a neuro-ectodermal disorder, and we see its effects on various systems. The female fish is bald for </w:t>
      </w:r>
      <w:proofErr w:type="spellStart"/>
      <w:r>
        <w:t>sycutricial</w:t>
      </w:r>
      <w:proofErr w:type="spellEnd"/>
      <w:r>
        <w:t xml:space="preserve"> alopecia. This other fish with a scaly barnacle symbolizes sub-ungual </w:t>
      </w:r>
      <w:proofErr w:type="spellStart"/>
      <w:r>
        <w:t>tumors</w:t>
      </w:r>
      <w:proofErr w:type="spellEnd"/>
      <w:r>
        <w:t xml:space="preserve"> resembling squamous cell carcinomas. The conical, pegged, and missing teeth highlights the dental manifestations. This condition progresses through four distinct morphological stages, each represented by symbols on the seafloor. The vesicular stage is symbolized by vesicular bubbles on a pink sponge, signifying eosinophilic spongiosis and apoptotic keratinocytes, hence the popped bubbles. The </w:t>
      </w:r>
      <w:proofErr w:type="spellStart"/>
      <w:r>
        <w:t>vericose</w:t>
      </w:r>
      <w:proofErr w:type="spellEnd"/>
      <w:r>
        <w:t xml:space="preserve"> stage is symbolized by the anemone, whose finger-like branches illustrate a </w:t>
      </w:r>
      <w:proofErr w:type="spellStart"/>
      <w:r>
        <w:t>canthosis</w:t>
      </w:r>
      <w:proofErr w:type="spellEnd"/>
      <w:r>
        <w:t xml:space="preserve"> of the epidermis, while the pink pearls represent squamous eddies. Next, the dark hyperpigmented coral symbolizes the hyperpigmented stage, with melons representing </w:t>
      </w:r>
      <w:proofErr w:type="spellStart"/>
      <w:r>
        <w:t>melanophages</w:t>
      </w:r>
      <w:proofErr w:type="spellEnd"/>
      <w:r>
        <w:t xml:space="preserve">, and the bleached fragile coral reflects the final stage of hypopigmentation, with epidermal atrophy and loss of melanin, hence the fragility of the reef. Severely affected patients may experience seizures and developmental delays, symbolized by hyperactive dory, with confusion question marks. Decreased visual acuity, including blindness, are symbolized by the fish with shrunken eyes and red vessel-like antennas, representing retinal vascular changes and optic atrophy. Females with a </w:t>
      </w:r>
      <w:proofErr w:type="gramStart"/>
      <w:r>
        <w:t>mis-sense</w:t>
      </w:r>
      <w:proofErr w:type="gramEnd"/>
      <w:r>
        <w:t xml:space="preserve"> </w:t>
      </w:r>
      <w:proofErr w:type="spellStart"/>
      <w:r>
        <w:t>nemomutation</w:t>
      </w:r>
      <w:proofErr w:type="spellEnd"/>
      <w:r>
        <w:t xml:space="preserve"> have a milder phenotype represented by a smiling fish, but they may bear male children with </w:t>
      </w:r>
      <w:proofErr w:type="spellStart"/>
      <w:r>
        <w:t>hypohydrotic</w:t>
      </w:r>
      <w:proofErr w:type="spellEnd"/>
      <w:r>
        <w:t xml:space="preserve"> ectodermal dysplasia with immunodeficiency, as shown by this male fish with </w:t>
      </w:r>
      <w:proofErr w:type="spellStart"/>
      <w:r>
        <w:t>hypohydrotic</w:t>
      </w:r>
      <w:proofErr w:type="spellEnd"/>
      <w:r>
        <w:t xml:space="preserve"> dried out skin, with an immunodeficiency cane. If you'll excuse me, I </w:t>
      </w:r>
      <w:proofErr w:type="gramStart"/>
      <w:r>
        <w:t>have to</w:t>
      </w:r>
      <w:proofErr w:type="gramEnd"/>
      <w:r>
        <w:t xml:space="preserve"> head off to P-Sharven 42 Wallaby Way.</w:t>
      </w:r>
    </w:p>
    <w:p w14:paraId="5687F134" w14:textId="77777777" w:rsidR="007D15D2" w:rsidRDefault="007D15D2" w:rsidP="007D15D2"/>
    <w:p w14:paraId="6517D474" w14:textId="77777777" w:rsidR="007D15D2" w:rsidRPr="007D15D2" w:rsidRDefault="007D15D2" w:rsidP="007D15D2">
      <w:pPr>
        <w:rPr>
          <w:b/>
          <w:bCs/>
        </w:rPr>
      </w:pPr>
      <w:proofErr w:type="spellStart"/>
      <w:r w:rsidRPr="007D15D2">
        <w:rPr>
          <w:b/>
          <w:bCs/>
        </w:rPr>
        <w:t>Incontinentia</w:t>
      </w:r>
      <w:proofErr w:type="spellEnd"/>
      <w:r w:rsidRPr="007D15D2">
        <w:rPr>
          <w:b/>
          <w:bCs/>
        </w:rPr>
        <w:t xml:space="preserve"> </w:t>
      </w:r>
      <w:proofErr w:type="spellStart"/>
      <w:r w:rsidRPr="007D15D2">
        <w:rPr>
          <w:b/>
          <w:bCs/>
        </w:rPr>
        <w:t>Pigmenti</w:t>
      </w:r>
      <w:proofErr w:type="spellEnd"/>
      <w:r w:rsidRPr="007D15D2">
        <w:rPr>
          <w:b/>
          <w:bCs/>
        </w:rPr>
        <w:t> (Incontinentia_Pigmenti_transcript.txt)</w:t>
      </w:r>
    </w:p>
    <w:tbl>
      <w:tblPr>
        <w:tblW w:w="9840" w:type="dxa"/>
        <w:shd w:val="clear" w:color="auto" w:fill="F2F1F4"/>
        <w:tblCellMar>
          <w:top w:w="15" w:type="dxa"/>
          <w:left w:w="15" w:type="dxa"/>
          <w:bottom w:w="15" w:type="dxa"/>
          <w:right w:w="15" w:type="dxa"/>
        </w:tblCellMar>
        <w:tblLook w:val="04A0" w:firstRow="1" w:lastRow="0" w:firstColumn="1" w:lastColumn="0" w:noHBand="0" w:noVBand="1"/>
      </w:tblPr>
      <w:tblGrid>
        <w:gridCol w:w="2018"/>
        <w:gridCol w:w="7822"/>
      </w:tblGrid>
      <w:tr w:rsidR="007D15D2" w:rsidRPr="007D15D2" w14:paraId="54CEECCA" w14:textId="77777777">
        <w:trPr>
          <w:tblHeader/>
        </w:trPr>
        <w:tc>
          <w:tcPr>
            <w:tcW w:w="0" w:type="auto"/>
            <w:tcBorders>
              <w:top w:val="single" w:sz="4" w:space="0" w:color="DCDADF"/>
              <w:left w:val="single" w:sz="4" w:space="0" w:color="DCDADF"/>
              <w:bottom w:val="single" w:sz="4" w:space="0" w:color="DCDADF"/>
              <w:right w:val="single" w:sz="4" w:space="0" w:color="DCDADF"/>
            </w:tcBorders>
            <w:shd w:val="clear" w:color="auto" w:fill="F2F1F4"/>
            <w:tcMar>
              <w:top w:w="120" w:type="dxa"/>
              <w:left w:w="120" w:type="dxa"/>
              <w:bottom w:w="120" w:type="dxa"/>
              <w:right w:w="120" w:type="dxa"/>
            </w:tcMar>
            <w:vAlign w:val="center"/>
            <w:hideMark/>
          </w:tcPr>
          <w:p w14:paraId="5E3E5EEC" w14:textId="77777777" w:rsidR="007D15D2" w:rsidRPr="007D15D2" w:rsidRDefault="007D15D2" w:rsidP="007D15D2">
            <w:pPr>
              <w:rPr>
                <w:b/>
                <w:bCs/>
              </w:rPr>
            </w:pPr>
            <w:r w:rsidRPr="007D15D2">
              <w:rPr>
                <w:b/>
                <w:bCs/>
              </w:rPr>
              <w:t>Topic</w:t>
            </w:r>
          </w:p>
        </w:tc>
        <w:tc>
          <w:tcPr>
            <w:tcW w:w="0" w:type="auto"/>
            <w:tcBorders>
              <w:top w:val="single" w:sz="4" w:space="0" w:color="DCDADF"/>
              <w:left w:val="single" w:sz="4" w:space="0" w:color="DCDADF"/>
              <w:bottom w:val="single" w:sz="4" w:space="0" w:color="DCDADF"/>
              <w:right w:val="single" w:sz="4" w:space="0" w:color="DCDADF"/>
            </w:tcBorders>
            <w:shd w:val="clear" w:color="auto" w:fill="F2F1F4"/>
            <w:tcMar>
              <w:top w:w="120" w:type="dxa"/>
              <w:left w:w="120" w:type="dxa"/>
              <w:bottom w:w="120" w:type="dxa"/>
              <w:right w:w="120" w:type="dxa"/>
            </w:tcMar>
            <w:vAlign w:val="center"/>
            <w:hideMark/>
          </w:tcPr>
          <w:p w14:paraId="19CC7C72" w14:textId="77777777" w:rsidR="007D15D2" w:rsidRPr="007D15D2" w:rsidRDefault="007D15D2" w:rsidP="007D15D2">
            <w:pPr>
              <w:rPr>
                <w:b/>
                <w:bCs/>
              </w:rPr>
            </w:pPr>
            <w:r w:rsidRPr="007D15D2">
              <w:rPr>
                <w:b/>
                <w:bCs/>
              </w:rPr>
              <w:t>Details</w:t>
            </w:r>
          </w:p>
        </w:tc>
      </w:tr>
      <w:tr w:rsidR="007D15D2" w:rsidRPr="007D15D2" w14:paraId="588D74BC" w14:textId="77777777">
        <w:tc>
          <w:tcPr>
            <w:tcW w:w="0" w:type="auto"/>
            <w:tcBorders>
              <w:top w:val="single" w:sz="4" w:space="0" w:color="DCDADF"/>
              <w:left w:val="single" w:sz="4" w:space="0" w:color="DCDADF"/>
              <w:bottom w:val="single" w:sz="4" w:space="0" w:color="DCDADF"/>
              <w:right w:val="single" w:sz="4" w:space="0" w:color="DCDADF"/>
            </w:tcBorders>
            <w:shd w:val="clear" w:color="auto" w:fill="F2F1F4"/>
            <w:tcMar>
              <w:top w:w="120" w:type="dxa"/>
              <w:left w:w="120" w:type="dxa"/>
              <w:bottom w:w="120" w:type="dxa"/>
              <w:right w:w="120" w:type="dxa"/>
            </w:tcMar>
            <w:vAlign w:val="center"/>
            <w:hideMark/>
          </w:tcPr>
          <w:p w14:paraId="215EF73F" w14:textId="77777777" w:rsidR="007D15D2" w:rsidRPr="007D15D2" w:rsidRDefault="007D15D2" w:rsidP="007D15D2">
            <w:r w:rsidRPr="007D15D2">
              <w:rPr>
                <w:b/>
                <w:bCs/>
              </w:rPr>
              <w:t>Gene</w:t>
            </w:r>
          </w:p>
        </w:tc>
        <w:tc>
          <w:tcPr>
            <w:tcW w:w="0" w:type="auto"/>
            <w:tcBorders>
              <w:top w:val="single" w:sz="4" w:space="0" w:color="DCDADF"/>
              <w:left w:val="single" w:sz="4" w:space="0" w:color="DCDADF"/>
              <w:bottom w:val="single" w:sz="4" w:space="0" w:color="DCDADF"/>
              <w:right w:val="single" w:sz="4" w:space="0" w:color="DCDADF"/>
            </w:tcBorders>
            <w:shd w:val="clear" w:color="auto" w:fill="F2F1F4"/>
            <w:tcMar>
              <w:top w:w="120" w:type="dxa"/>
              <w:left w:w="120" w:type="dxa"/>
              <w:bottom w:w="120" w:type="dxa"/>
              <w:right w:w="120" w:type="dxa"/>
            </w:tcMar>
            <w:vAlign w:val="center"/>
            <w:hideMark/>
          </w:tcPr>
          <w:p w14:paraId="533FFB03" w14:textId="77777777" w:rsidR="007D15D2" w:rsidRPr="007D15D2" w:rsidRDefault="007D15D2" w:rsidP="007D15D2">
            <w:r w:rsidRPr="007D15D2">
              <w:t>NEMO (IKBKG) — loss of function → prevents NF-</w:t>
            </w:r>
            <w:proofErr w:type="spellStart"/>
            <w:r w:rsidRPr="007D15D2">
              <w:t>κB</w:t>
            </w:r>
            <w:proofErr w:type="spellEnd"/>
            <w:r w:rsidRPr="007D15D2">
              <w:t xml:space="preserve"> activation → ↓ TNF-α mediated apoptosis</w:t>
            </w:r>
          </w:p>
        </w:tc>
      </w:tr>
      <w:tr w:rsidR="007D15D2" w:rsidRPr="007D15D2" w14:paraId="2A4E83C9" w14:textId="77777777">
        <w:tc>
          <w:tcPr>
            <w:tcW w:w="0" w:type="auto"/>
            <w:tcBorders>
              <w:top w:val="single" w:sz="4" w:space="0" w:color="DCDADF"/>
              <w:left w:val="single" w:sz="4" w:space="0" w:color="DCDADF"/>
              <w:bottom w:val="single" w:sz="4" w:space="0" w:color="DCDADF"/>
              <w:right w:val="single" w:sz="4" w:space="0" w:color="DCDADF"/>
            </w:tcBorders>
            <w:shd w:val="clear" w:color="auto" w:fill="F2F1F4"/>
            <w:tcMar>
              <w:top w:w="120" w:type="dxa"/>
              <w:left w:w="120" w:type="dxa"/>
              <w:bottom w:w="120" w:type="dxa"/>
              <w:right w:w="120" w:type="dxa"/>
            </w:tcMar>
            <w:vAlign w:val="center"/>
            <w:hideMark/>
          </w:tcPr>
          <w:p w14:paraId="45C4378C" w14:textId="77777777" w:rsidR="007D15D2" w:rsidRPr="007D15D2" w:rsidRDefault="007D15D2" w:rsidP="007D15D2">
            <w:r w:rsidRPr="007D15D2">
              <w:rPr>
                <w:b/>
                <w:bCs/>
              </w:rPr>
              <w:t>Inheritance</w:t>
            </w:r>
          </w:p>
        </w:tc>
        <w:tc>
          <w:tcPr>
            <w:tcW w:w="0" w:type="auto"/>
            <w:tcBorders>
              <w:top w:val="single" w:sz="4" w:space="0" w:color="DCDADF"/>
              <w:left w:val="single" w:sz="4" w:space="0" w:color="DCDADF"/>
              <w:bottom w:val="single" w:sz="4" w:space="0" w:color="DCDADF"/>
              <w:right w:val="single" w:sz="4" w:space="0" w:color="DCDADF"/>
            </w:tcBorders>
            <w:shd w:val="clear" w:color="auto" w:fill="F2F1F4"/>
            <w:tcMar>
              <w:top w:w="120" w:type="dxa"/>
              <w:left w:w="120" w:type="dxa"/>
              <w:bottom w:w="120" w:type="dxa"/>
              <w:right w:w="120" w:type="dxa"/>
            </w:tcMar>
            <w:vAlign w:val="center"/>
            <w:hideMark/>
          </w:tcPr>
          <w:p w14:paraId="1393DB3E" w14:textId="77777777" w:rsidR="007D15D2" w:rsidRPr="007D15D2" w:rsidRDefault="007D15D2" w:rsidP="007D15D2">
            <w:r w:rsidRPr="007D15D2">
              <w:t>X-linked dominant; </w:t>
            </w:r>
            <w:r w:rsidRPr="007D15D2">
              <w:rPr>
                <w:b/>
                <w:bCs/>
              </w:rPr>
              <w:t>lethal in males</w:t>
            </w:r>
            <w:r w:rsidRPr="007D15D2">
              <w:t> (except Klinefelter XXY)</w:t>
            </w:r>
          </w:p>
        </w:tc>
      </w:tr>
      <w:tr w:rsidR="007D15D2" w:rsidRPr="007D15D2" w14:paraId="293373A9" w14:textId="77777777">
        <w:tc>
          <w:tcPr>
            <w:tcW w:w="0" w:type="auto"/>
            <w:tcBorders>
              <w:top w:val="single" w:sz="4" w:space="0" w:color="DCDADF"/>
              <w:left w:val="single" w:sz="4" w:space="0" w:color="DCDADF"/>
              <w:bottom w:val="single" w:sz="4" w:space="0" w:color="DCDADF"/>
              <w:right w:val="single" w:sz="4" w:space="0" w:color="DCDADF"/>
            </w:tcBorders>
            <w:shd w:val="clear" w:color="auto" w:fill="F2F1F4"/>
            <w:tcMar>
              <w:top w:w="120" w:type="dxa"/>
              <w:left w:w="120" w:type="dxa"/>
              <w:bottom w:w="120" w:type="dxa"/>
              <w:right w:w="120" w:type="dxa"/>
            </w:tcMar>
            <w:vAlign w:val="center"/>
            <w:hideMark/>
          </w:tcPr>
          <w:p w14:paraId="21227A95" w14:textId="77777777" w:rsidR="007D15D2" w:rsidRPr="007D15D2" w:rsidRDefault="007D15D2" w:rsidP="007D15D2">
            <w:r w:rsidRPr="007D15D2">
              <w:rPr>
                <w:b/>
                <w:bCs/>
              </w:rPr>
              <w:t>Pattern</w:t>
            </w:r>
          </w:p>
        </w:tc>
        <w:tc>
          <w:tcPr>
            <w:tcW w:w="0" w:type="auto"/>
            <w:tcBorders>
              <w:top w:val="single" w:sz="4" w:space="0" w:color="DCDADF"/>
              <w:left w:val="single" w:sz="4" w:space="0" w:color="DCDADF"/>
              <w:bottom w:val="single" w:sz="4" w:space="0" w:color="DCDADF"/>
              <w:right w:val="single" w:sz="4" w:space="0" w:color="DCDADF"/>
            </w:tcBorders>
            <w:shd w:val="clear" w:color="auto" w:fill="F2F1F4"/>
            <w:tcMar>
              <w:top w:w="120" w:type="dxa"/>
              <w:left w:w="120" w:type="dxa"/>
              <w:bottom w:w="120" w:type="dxa"/>
              <w:right w:w="120" w:type="dxa"/>
            </w:tcMar>
            <w:vAlign w:val="center"/>
            <w:hideMark/>
          </w:tcPr>
          <w:p w14:paraId="42C56153" w14:textId="77777777" w:rsidR="007D15D2" w:rsidRPr="007D15D2" w:rsidRDefault="007D15D2" w:rsidP="007D15D2">
            <w:r w:rsidRPr="007D15D2">
              <w:t xml:space="preserve">Functional mosaicism via </w:t>
            </w:r>
            <w:proofErr w:type="spellStart"/>
            <w:r w:rsidRPr="007D15D2">
              <w:t>lyonisation</w:t>
            </w:r>
            <w:proofErr w:type="spellEnd"/>
            <w:r w:rsidRPr="007D15D2">
              <w:t xml:space="preserve"> → </w:t>
            </w:r>
            <w:proofErr w:type="spellStart"/>
            <w:r w:rsidRPr="007D15D2">
              <w:t>Blaschkoid</w:t>
            </w:r>
            <w:proofErr w:type="spellEnd"/>
            <w:r w:rsidRPr="007D15D2">
              <w:t xml:space="preserve"> distribution (streaks &amp; whorls)</w:t>
            </w:r>
          </w:p>
        </w:tc>
      </w:tr>
      <w:tr w:rsidR="007D15D2" w:rsidRPr="007D15D2" w14:paraId="3E167A3F" w14:textId="77777777">
        <w:tc>
          <w:tcPr>
            <w:tcW w:w="0" w:type="auto"/>
            <w:tcBorders>
              <w:top w:val="single" w:sz="4" w:space="0" w:color="DCDADF"/>
              <w:left w:val="single" w:sz="4" w:space="0" w:color="DCDADF"/>
              <w:bottom w:val="single" w:sz="4" w:space="0" w:color="DCDADF"/>
              <w:right w:val="single" w:sz="4" w:space="0" w:color="DCDADF"/>
            </w:tcBorders>
            <w:shd w:val="clear" w:color="auto" w:fill="F2F1F4"/>
            <w:tcMar>
              <w:top w:w="120" w:type="dxa"/>
              <w:left w:w="120" w:type="dxa"/>
              <w:bottom w:w="120" w:type="dxa"/>
              <w:right w:w="120" w:type="dxa"/>
            </w:tcMar>
            <w:vAlign w:val="center"/>
            <w:hideMark/>
          </w:tcPr>
          <w:p w14:paraId="35E8F150" w14:textId="77777777" w:rsidR="007D15D2" w:rsidRPr="007D15D2" w:rsidRDefault="007D15D2" w:rsidP="007D15D2">
            <w:r w:rsidRPr="007D15D2">
              <w:rPr>
                <w:b/>
                <w:bCs/>
              </w:rPr>
              <w:t>System</w:t>
            </w:r>
          </w:p>
        </w:tc>
        <w:tc>
          <w:tcPr>
            <w:tcW w:w="0" w:type="auto"/>
            <w:tcBorders>
              <w:top w:val="single" w:sz="4" w:space="0" w:color="DCDADF"/>
              <w:left w:val="single" w:sz="4" w:space="0" w:color="DCDADF"/>
              <w:bottom w:val="single" w:sz="4" w:space="0" w:color="DCDADF"/>
              <w:right w:val="single" w:sz="4" w:space="0" w:color="DCDADF"/>
            </w:tcBorders>
            <w:shd w:val="clear" w:color="auto" w:fill="F2F1F4"/>
            <w:tcMar>
              <w:top w:w="120" w:type="dxa"/>
              <w:left w:w="120" w:type="dxa"/>
              <w:bottom w:w="120" w:type="dxa"/>
              <w:right w:w="120" w:type="dxa"/>
            </w:tcMar>
            <w:vAlign w:val="center"/>
            <w:hideMark/>
          </w:tcPr>
          <w:p w14:paraId="447E5883" w14:textId="77777777" w:rsidR="007D15D2" w:rsidRPr="007D15D2" w:rsidRDefault="007D15D2" w:rsidP="007D15D2">
            <w:r w:rsidRPr="007D15D2">
              <w:t>Neuro-ectodermal disorder (skin, teeth, CNS, eyes)</w:t>
            </w:r>
          </w:p>
        </w:tc>
      </w:tr>
      <w:tr w:rsidR="007D15D2" w:rsidRPr="007D15D2" w14:paraId="0E95EF34" w14:textId="77777777">
        <w:tc>
          <w:tcPr>
            <w:tcW w:w="0" w:type="auto"/>
            <w:tcBorders>
              <w:top w:val="single" w:sz="4" w:space="0" w:color="DCDADF"/>
              <w:left w:val="single" w:sz="4" w:space="0" w:color="DCDADF"/>
              <w:bottom w:val="single" w:sz="4" w:space="0" w:color="DCDADF"/>
              <w:right w:val="single" w:sz="4" w:space="0" w:color="DCDADF"/>
            </w:tcBorders>
            <w:shd w:val="clear" w:color="auto" w:fill="F2F1F4"/>
            <w:tcMar>
              <w:top w:w="120" w:type="dxa"/>
              <w:left w:w="120" w:type="dxa"/>
              <w:bottom w:w="120" w:type="dxa"/>
              <w:right w:w="120" w:type="dxa"/>
            </w:tcMar>
            <w:vAlign w:val="center"/>
            <w:hideMark/>
          </w:tcPr>
          <w:p w14:paraId="7F5CA8DC" w14:textId="77777777" w:rsidR="007D15D2" w:rsidRPr="007D15D2" w:rsidRDefault="007D15D2" w:rsidP="007D15D2">
            <w:r w:rsidRPr="007D15D2">
              <w:rPr>
                <w:b/>
                <w:bCs/>
              </w:rPr>
              <w:t>Skin</w:t>
            </w:r>
          </w:p>
        </w:tc>
        <w:tc>
          <w:tcPr>
            <w:tcW w:w="0" w:type="auto"/>
            <w:tcBorders>
              <w:top w:val="single" w:sz="4" w:space="0" w:color="DCDADF"/>
              <w:left w:val="single" w:sz="4" w:space="0" w:color="DCDADF"/>
              <w:bottom w:val="single" w:sz="4" w:space="0" w:color="DCDADF"/>
              <w:right w:val="single" w:sz="4" w:space="0" w:color="DCDADF"/>
            </w:tcBorders>
            <w:shd w:val="clear" w:color="auto" w:fill="F2F1F4"/>
            <w:tcMar>
              <w:top w:w="120" w:type="dxa"/>
              <w:left w:w="120" w:type="dxa"/>
              <w:bottom w:w="120" w:type="dxa"/>
              <w:right w:w="120" w:type="dxa"/>
            </w:tcMar>
            <w:vAlign w:val="center"/>
            <w:hideMark/>
          </w:tcPr>
          <w:p w14:paraId="20C7084B" w14:textId="77777777" w:rsidR="007D15D2" w:rsidRPr="007D15D2" w:rsidRDefault="007D15D2" w:rsidP="007D15D2">
            <w:r w:rsidRPr="007D15D2">
              <w:t>Scarring alopecia (10–20%); subungual tumours resembling SCC (10%)</w:t>
            </w:r>
          </w:p>
        </w:tc>
      </w:tr>
      <w:tr w:rsidR="007D15D2" w:rsidRPr="007D15D2" w14:paraId="5A53FC0B" w14:textId="77777777">
        <w:tc>
          <w:tcPr>
            <w:tcW w:w="0" w:type="auto"/>
            <w:tcBorders>
              <w:top w:val="single" w:sz="4" w:space="0" w:color="DCDADF"/>
              <w:left w:val="single" w:sz="4" w:space="0" w:color="DCDADF"/>
              <w:bottom w:val="single" w:sz="4" w:space="0" w:color="DCDADF"/>
              <w:right w:val="single" w:sz="4" w:space="0" w:color="DCDADF"/>
            </w:tcBorders>
            <w:shd w:val="clear" w:color="auto" w:fill="F2F1F4"/>
            <w:tcMar>
              <w:top w:w="120" w:type="dxa"/>
              <w:left w:w="120" w:type="dxa"/>
              <w:bottom w:w="120" w:type="dxa"/>
              <w:right w:w="120" w:type="dxa"/>
            </w:tcMar>
            <w:vAlign w:val="center"/>
            <w:hideMark/>
          </w:tcPr>
          <w:p w14:paraId="29065C15" w14:textId="77777777" w:rsidR="007D15D2" w:rsidRPr="007D15D2" w:rsidRDefault="007D15D2" w:rsidP="007D15D2">
            <w:r w:rsidRPr="007D15D2">
              <w:rPr>
                <w:b/>
                <w:bCs/>
              </w:rPr>
              <w:t>Teeth</w:t>
            </w:r>
          </w:p>
        </w:tc>
        <w:tc>
          <w:tcPr>
            <w:tcW w:w="0" w:type="auto"/>
            <w:tcBorders>
              <w:top w:val="single" w:sz="4" w:space="0" w:color="DCDADF"/>
              <w:left w:val="single" w:sz="4" w:space="0" w:color="DCDADF"/>
              <w:bottom w:val="single" w:sz="4" w:space="0" w:color="DCDADF"/>
              <w:right w:val="single" w:sz="4" w:space="0" w:color="DCDADF"/>
            </w:tcBorders>
            <w:shd w:val="clear" w:color="auto" w:fill="F2F1F4"/>
            <w:tcMar>
              <w:top w:w="120" w:type="dxa"/>
              <w:left w:w="120" w:type="dxa"/>
              <w:bottom w:w="120" w:type="dxa"/>
              <w:right w:w="120" w:type="dxa"/>
            </w:tcMar>
            <w:vAlign w:val="center"/>
            <w:hideMark/>
          </w:tcPr>
          <w:p w14:paraId="74076253" w14:textId="77777777" w:rsidR="007D15D2" w:rsidRPr="007D15D2" w:rsidRDefault="007D15D2" w:rsidP="007D15D2">
            <w:r w:rsidRPr="007D15D2">
              <w:t>Pegged, conical teeth, anodontia (~50%) — </w:t>
            </w:r>
            <w:r w:rsidRPr="007D15D2">
              <w:rPr>
                <w:b/>
                <w:bCs/>
              </w:rPr>
              <w:t>most common extracutaneous feature</w:t>
            </w:r>
          </w:p>
        </w:tc>
      </w:tr>
      <w:tr w:rsidR="007D15D2" w:rsidRPr="007D15D2" w14:paraId="18F9B0A7" w14:textId="77777777">
        <w:tc>
          <w:tcPr>
            <w:tcW w:w="0" w:type="auto"/>
            <w:tcBorders>
              <w:top w:val="single" w:sz="4" w:space="0" w:color="DCDADF"/>
              <w:left w:val="single" w:sz="4" w:space="0" w:color="DCDADF"/>
              <w:bottom w:val="single" w:sz="4" w:space="0" w:color="DCDADF"/>
              <w:right w:val="single" w:sz="4" w:space="0" w:color="DCDADF"/>
            </w:tcBorders>
            <w:shd w:val="clear" w:color="auto" w:fill="F2F1F4"/>
            <w:tcMar>
              <w:top w:w="120" w:type="dxa"/>
              <w:left w:w="120" w:type="dxa"/>
              <w:bottom w:w="120" w:type="dxa"/>
              <w:right w:w="120" w:type="dxa"/>
            </w:tcMar>
            <w:vAlign w:val="center"/>
            <w:hideMark/>
          </w:tcPr>
          <w:p w14:paraId="62F90F6E" w14:textId="77777777" w:rsidR="007D15D2" w:rsidRPr="007D15D2" w:rsidRDefault="007D15D2" w:rsidP="007D15D2">
            <w:r w:rsidRPr="007D15D2">
              <w:rPr>
                <w:b/>
                <w:bCs/>
              </w:rPr>
              <w:t>4 Morphological Stages</w:t>
            </w:r>
          </w:p>
        </w:tc>
        <w:tc>
          <w:tcPr>
            <w:tcW w:w="0" w:type="auto"/>
            <w:tcBorders>
              <w:top w:val="single" w:sz="4" w:space="0" w:color="DCDADF"/>
              <w:left w:val="single" w:sz="4" w:space="0" w:color="DCDADF"/>
              <w:bottom w:val="single" w:sz="4" w:space="0" w:color="DCDADF"/>
              <w:right w:val="single" w:sz="4" w:space="0" w:color="DCDADF"/>
            </w:tcBorders>
            <w:shd w:val="clear" w:color="auto" w:fill="F2F1F4"/>
            <w:tcMar>
              <w:top w:w="120" w:type="dxa"/>
              <w:left w:w="120" w:type="dxa"/>
              <w:bottom w:w="120" w:type="dxa"/>
              <w:right w:w="120" w:type="dxa"/>
            </w:tcMar>
            <w:vAlign w:val="center"/>
            <w:hideMark/>
          </w:tcPr>
          <w:p w14:paraId="07D1DC36" w14:textId="77777777" w:rsidR="007D15D2" w:rsidRPr="007D15D2" w:rsidRDefault="007D15D2" w:rsidP="007D15D2">
            <w:r w:rsidRPr="007D15D2">
              <w:t xml:space="preserve">1. Vesicular (eosinophilic spongiosis, apoptotic keratinocytes) → 2. Verrucous (acanthosis, squamous eddies) → 3. Hyperpigmented (pigment incontinence, </w:t>
            </w:r>
            <w:proofErr w:type="spellStart"/>
            <w:r w:rsidRPr="007D15D2">
              <w:t>melanophages</w:t>
            </w:r>
            <w:proofErr w:type="spellEnd"/>
            <w:r w:rsidRPr="007D15D2">
              <w:t>) → 4. Hypopigmented (epidermal atrophy, melanin loss)</w:t>
            </w:r>
          </w:p>
        </w:tc>
      </w:tr>
      <w:tr w:rsidR="007D15D2" w:rsidRPr="007D15D2" w14:paraId="573D9DA1" w14:textId="77777777">
        <w:tc>
          <w:tcPr>
            <w:tcW w:w="0" w:type="auto"/>
            <w:tcBorders>
              <w:top w:val="single" w:sz="4" w:space="0" w:color="DCDADF"/>
              <w:left w:val="single" w:sz="4" w:space="0" w:color="DCDADF"/>
              <w:bottom w:val="single" w:sz="4" w:space="0" w:color="DCDADF"/>
              <w:right w:val="single" w:sz="4" w:space="0" w:color="DCDADF"/>
            </w:tcBorders>
            <w:shd w:val="clear" w:color="auto" w:fill="F2F1F4"/>
            <w:tcMar>
              <w:top w:w="120" w:type="dxa"/>
              <w:left w:w="120" w:type="dxa"/>
              <w:bottom w:w="120" w:type="dxa"/>
              <w:right w:w="120" w:type="dxa"/>
            </w:tcMar>
            <w:vAlign w:val="center"/>
            <w:hideMark/>
          </w:tcPr>
          <w:p w14:paraId="3DFAB083" w14:textId="77777777" w:rsidR="007D15D2" w:rsidRPr="007D15D2" w:rsidRDefault="007D15D2" w:rsidP="007D15D2">
            <w:r w:rsidRPr="007D15D2">
              <w:rPr>
                <w:b/>
                <w:bCs/>
              </w:rPr>
              <w:t>CNS</w:t>
            </w:r>
          </w:p>
        </w:tc>
        <w:tc>
          <w:tcPr>
            <w:tcW w:w="0" w:type="auto"/>
            <w:tcBorders>
              <w:top w:val="single" w:sz="4" w:space="0" w:color="DCDADF"/>
              <w:left w:val="single" w:sz="4" w:space="0" w:color="DCDADF"/>
              <w:bottom w:val="single" w:sz="4" w:space="0" w:color="DCDADF"/>
              <w:right w:val="single" w:sz="4" w:space="0" w:color="DCDADF"/>
            </w:tcBorders>
            <w:shd w:val="clear" w:color="auto" w:fill="F2F1F4"/>
            <w:tcMar>
              <w:top w:w="120" w:type="dxa"/>
              <w:left w:w="120" w:type="dxa"/>
              <w:bottom w:w="120" w:type="dxa"/>
              <w:right w:w="120" w:type="dxa"/>
            </w:tcMar>
            <w:vAlign w:val="center"/>
            <w:hideMark/>
          </w:tcPr>
          <w:p w14:paraId="5552741F" w14:textId="77777777" w:rsidR="007D15D2" w:rsidRPr="007D15D2" w:rsidRDefault="007D15D2" w:rsidP="007D15D2">
            <w:r w:rsidRPr="007D15D2">
              <w:t>Seizures, developmental delays, intellectual impairment</w:t>
            </w:r>
          </w:p>
        </w:tc>
      </w:tr>
      <w:tr w:rsidR="007D15D2" w:rsidRPr="007D15D2" w14:paraId="6778DC4E" w14:textId="77777777">
        <w:tc>
          <w:tcPr>
            <w:tcW w:w="0" w:type="auto"/>
            <w:tcBorders>
              <w:top w:val="single" w:sz="4" w:space="0" w:color="DCDADF"/>
              <w:left w:val="single" w:sz="4" w:space="0" w:color="DCDADF"/>
              <w:bottom w:val="single" w:sz="4" w:space="0" w:color="DCDADF"/>
              <w:right w:val="single" w:sz="4" w:space="0" w:color="DCDADF"/>
            </w:tcBorders>
            <w:shd w:val="clear" w:color="auto" w:fill="F2F1F4"/>
            <w:tcMar>
              <w:top w:w="120" w:type="dxa"/>
              <w:left w:w="120" w:type="dxa"/>
              <w:bottom w:w="120" w:type="dxa"/>
              <w:right w:w="120" w:type="dxa"/>
            </w:tcMar>
            <w:vAlign w:val="center"/>
            <w:hideMark/>
          </w:tcPr>
          <w:p w14:paraId="71D5178E" w14:textId="77777777" w:rsidR="007D15D2" w:rsidRPr="007D15D2" w:rsidRDefault="007D15D2" w:rsidP="007D15D2">
            <w:r w:rsidRPr="007D15D2">
              <w:rPr>
                <w:b/>
                <w:bCs/>
              </w:rPr>
              <w:t>Eyes</w:t>
            </w:r>
          </w:p>
        </w:tc>
        <w:tc>
          <w:tcPr>
            <w:tcW w:w="0" w:type="auto"/>
            <w:tcBorders>
              <w:top w:val="single" w:sz="4" w:space="0" w:color="DCDADF"/>
              <w:left w:val="single" w:sz="4" w:space="0" w:color="DCDADF"/>
              <w:bottom w:val="single" w:sz="4" w:space="0" w:color="DCDADF"/>
              <w:right w:val="single" w:sz="4" w:space="0" w:color="DCDADF"/>
            </w:tcBorders>
            <w:shd w:val="clear" w:color="auto" w:fill="F2F1F4"/>
            <w:tcMar>
              <w:top w:w="120" w:type="dxa"/>
              <w:left w:w="120" w:type="dxa"/>
              <w:bottom w:w="120" w:type="dxa"/>
              <w:right w:w="120" w:type="dxa"/>
            </w:tcMar>
            <w:vAlign w:val="center"/>
            <w:hideMark/>
          </w:tcPr>
          <w:p w14:paraId="16F59C46" w14:textId="77777777" w:rsidR="007D15D2" w:rsidRPr="007D15D2" w:rsidRDefault="007D15D2" w:rsidP="007D15D2">
            <w:r w:rsidRPr="007D15D2">
              <w:t>↓ Visual acuity / blindness; retinal vascular changes, optic atrophy</w:t>
            </w:r>
          </w:p>
        </w:tc>
      </w:tr>
      <w:tr w:rsidR="007D15D2" w:rsidRPr="007D15D2" w14:paraId="20F44A83" w14:textId="77777777">
        <w:tc>
          <w:tcPr>
            <w:tcW w:w="0" w:type="auto"/>
            <w:tcBorders>
              <w:top w:val="single" w:sz="4" w:space="0" w:color="DCDADF"/>
              <w:left w:val="single" w:sz="4" w:space="0" w:color="DCDADF"/>
              <w:bottom w:val="single" w:sz="4" w:space="0" w:color="DCDADF"/>
              <w:right w:val="single" w:sz="4" w:space="0" w:color="DCDADF"/>
            </w:tcBorders>
            <w:shd w:val="clear" w:color="auto" w:fill="F2F1F4"/>
            <w:tcMar>
              <w:top w:w="120" w:type="dxa"/>
              <w:left w:w="120" w:type="dxa"/>
              <w:bottom w:w="120" w:type="dxa"/>
              <w:right w:w="120" w:type="dxa"/>
            </w:tcMar>
            <w:vAlign w:val="center"/>
            <w:hideMark/>
          </w:tcPr>
          <w:p w14:paraId="22A882FD" w14:textId="77777777" w:rsidR="007D15D2" w:rsidRPr="007D15D2" w:rsidRDefault="007D15D2" w:rsidP="007D15D2">
            <w:r w:rsidRPr="007D15D2">
              <w:rPr>
                <w:b/>
                <w:bCs/>
              </w:rPr>
              <w:t>Missense NEMO mutation</w:t>
            </w:r>
          </w:p>
        </w:tc>
        <w:tc>
          <w:tcPr>
            <w:tcW w:w="0" w:type="auto"/>
            <w:tcBorders>
              <w:top w:val="single" w:sz="4" w:space="0" w:color="DCDADF"/>
              <w:left w:val="single" w:sz="4" w:space="0" w:color="DCDADF"/>
              <w:bottom w:val="single" w:sz="4" w:space="0" w:color="DCDADF"/>
              <w:right w:val="single" w:sz="4" w:space="0" w:color="DCDADF"/>
            </w:tcBorders>
            <w:shd w:val="clear" w:color="auto" w:fill="F2F1F4"/>
            <w:tcMar>
              <w:top w:w="120" w:type="dxa"/>
              <w:left w:w="120" w:type="dxa"/>
              <w:bottom w:w="120" w:type="dxa"/>
              <w:right w:w="120" w:type="dxa"/>
            </w:tcMar>
            <w:vAlign w:val="center"/>
            <w:hideMark/>
          </w:tcPr>
          <w:p w14:paraId="35B5F7E8" w14:textId="77777777" w:rsidR="007D15D2" w:rsidRPr="007D15D2" w:rsidRDefault="007D15D2" w:rsidP="007D15D2">
            <w:r w:rsidRPr="007D15D2">
              <w:t xml:space="preserve">Milder phenotype in females; male offspring → </w:t>
            </w:r>
            <w:proofErr w:type="spellStart"/>
            <w:r w:rsidRPr="007D15D2">
              <w:t>hypohidrotic</w:t>
            </w:r>
            <w:proofErr w:type="spellEnd"/>
            <w:r w:rsidRPr="007D15D2">
              <w:t xml:space="preserve"> ectodermal dysplasia with immunodeficiency</w:t>
            </w:r>
          </w:p>
        </w:tc>
      </w:tr>
    </w:tbl>
    <w:p w14:paraId="403F8932" w14:textId="77777777" w:rsidR="00093652" w:rsidRDefault="00093652" w:rsidP="0004012D"/>
    <w:sectPr w:rsidR="000936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1A56F4"/>
    <w:multiLevelType w:val="multilevel"/>
    <w:tmpl w:val="229623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084D6F"/>
    <w:multiLevelType w:val="multilevel"/>
    <w:tmpl w:val="9C7EF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681463"/>
    <w:multiLevelType w:val="multilevel"/>
    <w:tmpl w:val="B27CED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2832329">
    <w:abstractNumId w:val="2"/>
  </w:num>
  <w:num w:numId="2" w16cid:durableId="1101223354">
    <w:abstractNumId w:val="0"/>
  </w:num>
  <w:num w:numId="3" w16cid:durableId="6697965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282"/>
    <w:rsid w:val="0004012D"/>
    <w:rsid w:val="0005428C"/>
    <w:rsid w:val="00093652"/>
    <w:rsid w:val="00110FEF"/>
    <w:rsid w:val="001239B4"/>
    <w:rsid w:val="00132391"/>
    <w:rsid w:val="00334156"/>
    <w:rsid w:val="00340E97"/>
    <w:rsid w:val="003563BE"/>
    <w:rsid w:val="003D211A"/>
    <w:rsid w:val="00442768"/>
    <w:rsid w:val="005220CF"/>
    <w:rsid w:val="006A09B0"/>
    <w:rsid w:val="006A5639"/>
    <w:rsid w:val="007D15D2"/>
    <w:rsid w:val="00924A42"/>
    <w:rsid w:val="009F2AD3"/>
    <w:rsid w:val="00A859B5"/>
    <w:rsid w:val="00B70F62"/>
    <w:rsid w:val="00C517A1"/>
    <w:rsid w:val="00CB6414"/>
    <w:rsid w:val="00D57A25"/>
    <w:rsid w:val="00DA1DB4"/>
    <w:rsid w:val="00E317B4"/>
    <w:rsid w:val="00E65C78"/>
    <w:rsid w:val="00E82589"/>
    <w:rsid w:val="00EC0ECE"/>
    <w:rsid w:val="00F50DCF"/>
    <w:rsid w:val="00FA728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3770E"/>
  <w15:chartTrackingRefBased/>
  <w15:docId w15:val="{8118D290-FCF3-4C20-AE7F-239E8F46E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72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72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72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72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72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72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72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72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72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72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72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72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72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72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72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72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72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7282"/>
    <w:rPr>
      <w:rFonts w:eastAsiaTheme="majorEastAsia" w:cstheme="majorBidi"/>
      <w:color w:val="272727" w:themeColor="text1" w:themeTint="D8"/>
    </w:rPr>
  </w:style>
  <w:style w:type="paragraph" w:styleId="Title">
    <w:name w:val="Title"/>
    <w:basedOn w:val="Normal"/>
    <w:next w:val="Normal"/>
    <w:link w:val="TitleChar"/>
    <w:uiPriority w:val="10"/>
    <w:qFormat/>
    <w:rsid w:val="00FA72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72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72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72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7282"/>
    <w:pPr>
      <w:spacing w:before="160"/>
      <w:jc w:val="center"/>
    </w:pPr>
    <w:rPr>
      <w:i/>
      <w:iCs/>
      <w:color w:val="404040" w:themeColor="text1" w:themeTint="BF"/>
    </w:rPr>
  </w:style>
  <w:style w:type="character" w:customStyle="1" w:styleId="QuoteChar">
    <w:name w:val="Quote Char"/>
    <w:basedOn w:val="DefaultParagraphFont"/>
    <w:link w:val="Quote"/>
    <w:uiPriority w:val="29"/>
    <w:rsid w:val="00FA7282"/>
    <w:rPr>
      <w:i/>
      <w:iCs/>
      <w:color w:val="404040" w:themeColor="text1" w:themeTint="BF"/>
    </w:rPr>
  </w:style>
  <w:style w:type="paragraph" w:styleId="ListParagraph">
    <w:name w:val="List Paragraph"/>
    <w:basedOn w:val="Normal"/>
    <w:uiPriority w:val="34"/>
    <w:qFormat/>
    <w:rsid w:val="00FA7282"/>
    <w:pPr>
      <w:ind w:left="720"/>
      <w:contextualSpacing/>
    </w:pPr>
  </w:style>
  <w:style w:type="character" w:styleId="IntenseEmphasis">
    <w:name w:val="Intense Emphasis"/>
    <w:basedOn w:val="DefaultParagraphFont"/>
    <w:uiPriority w:val="21"/>
    <w:qFormat/>
    <w:rsid w:val="00FA7282"/>
    <w:rPr>
      <w:i/>
      <w:iCs/>
      <w:color w:val="0F4761" w:themeColor="accent1" w:themeShade="BF"/>
    </w:rPr>
  </w:style>
  <w:style w:type="paragraph" w:styleId="IntenseQuote">
    <w:name w:val="Intense Quote"/>
    <w:basedOn w:val="Normal"/>
    <w:next w:val="Normal"/>
    <w:link w:val="IntenseQuoteChar"/>
    <w:uiPriority w:val="30"/>
    <w:qFormat/>
    <w:rsid w:val="00FA72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7282"/>
    <w:rPr>
      <w:i/>
      <w:iCs/>
      <w:color w:val="0F4761" w:themeColor="accent1" w:themeShade="BF"/>
    </w:rPr>
  </w:style>
  <w:style w:type="character" w:styleId="IntenseReference">
    <w:name w:val="Intense Reference"/>
    <w:basedOn w:val="DefaultParagraphFont"/>
    <w:uiPriority w:val="32"/>
    <w:qFormat/>
    <w:rsid w:val="00FA72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3044CA185E9B44FA80C8E360CA0A295" ma:contentTypeVersion="10" ma:contentTypeDescription="Create a new document." ma:contentTypeScope="" ma:versionID="24cb3bd6e6ac66f77b10d84a3de2d40a">
  <xsd:schema xmlns:xsd="http://www.w3.org/2001/XMLSchema" xmlns:xs="http://www.w3.org/2001/XMLSchema" xmlns:p="http://schemas.microsoft.com/office/2006/metadata/properties" xmlns:ns3="0ff3850c-15eb-4757-aee4-68ef58597847" targetNamespace="http://schemas.microsoft.com/office/2006/metadata/properties" ma:root="true" ma:fieldsID="fade914b517c553d6c674dbb907ac7ca" ns3:_="">
    <xsd:import namespace="0ff3850c-15eb-4757-aee4-68ef58597847"/>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element ref="ns3:_activity"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f3850c-15eb-4757-aee4-68ef5859784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0ff3850c-15eb-4757-aee4-68ef58597847" xsi:nil="true"/>
  </documentManagement>
</p:properties>
</file>

<file path=customXml/itemProps1.xml><?xml version="1.0" encoding="utf-8"?>
<ds:datastoreItem xmlns:ds="http://schemas.openxmlformats.org/officeDocument/2006/customXml" ds:itemID="{D17ABADF-2001-4722-8E2E-B1B570388056}">
  <ds:schemaRefs>
    <ds:schemaRef ds:uri="http://schemas.microsoft.com/sharepoint/v3/contenttype/forms"/>
  </ds:schemaRefs>
</ds:datastoreItem>
</file>

<file path=customXml/itemProps2.xml><?xml version="1.0" encoding="utf-8"?>
<ds:datastoreItem xmlns:ds="http://schemas.openxmlformats.org/officeDocument/2006/customXml" ds:itemID="{1236A487-1201-4A85-9A4B-F7A594606E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f3850c-15eb-4757-aee4-68ef5859784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9773148-241A-4590-8573-DC95B86F5408}">
  <ds:schemaRefs>
    <ds:schemaRef ds:uri="http://schemas.microsoft.com/office/2006/metadata/properties"/>
    <ds:schemaRef ds:uri="http://schemas.microsoft.com/office/infopath/2007/PartnerControls"/>
    <ds:schemaRef ds:uri="0ff3850c-15eb-4757-aee4-68ef58597847"/>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1157</Words>
  <Characters>6601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Hawwa</dc:creator>
  <cp:keywords/>
  <dc:description/>
  <cp:lastModifiedBy>Ahmed Hawwa</cp:lastModifiedBy>
  <cp:revision>5</cp:revision>
  <dcterms:created xsi:type="dcterms:W3CDTF">2026-05-23T23:47:00Z</dcterms:created>
  <dcterms:modified xsi:type="dcterms:W3CDTF">2026-05-23T23:49:00Z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0x010100F3044CA185E9B44FA80C8E360CA0A295</vt:lpwstr>
  </property>
</Properties>
</file>