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4"/>
          <w:szCs w:val="44"/>
        </w:rPr>
        <w:t xml:space="preserve">LATERAL LOAD PATH</w:t>
      </w:r>
    </w:p>
    <w:p>
      <w:pPr>
        <w:spacing w:after="480"/>
        <w:jc w:val="center"/>
      </w:pPr>
      <w:r>
        <w:rPr>
          <w:b/>
          <w:bCs/>
          <w:color w:val="1F3864"/>
          <w:sz w:val="44"/>
          <w:szCs w:val="44"/>
        </w:rPr>
        <w:t xml:space="preserve">QA/QC REVIEW REPORT</w:t>
      </w:r>
    </w:p>
    <w:p>
      <w:pPr>
        <w:spacing w:after="120"/>
        <w:jc w:val="center"/>
      </w:pPr>
      <w:r>
        <w:rPr>
          <w:b/>
          <w:bCs/>
          <w:sz w:val="26"/>
          <w:szCs w:val="26"/>
        </w:rPr>
        <w:t xml:space="preserve">[Institutional Building Renovation — name and location redacted]</w:t>
      </w:r>
    </w:p>
    <w:p>
      <w:pPr>
        <w:spacing w:after="120"/>
        <w:jc w:val="center"/>
      </w:pPr>
      <w:r>
        <w:rPr>
          <w:color w:val="595959"/>
          <w:sz w:val="24"/>
          <w:szCs w:val="24"/>
        </w:rPr>
        <w:t xml:space="preserve">Project No. [redacted]</w:t>
      </w:r>
    </w:p>
    <w:p>
      <w:pPr>
        <w:spacing w:after="1600"/>
        <w:jc w:val="center"/>
      </w:pPr>
      <w:r>
        <w:rPr>
          <w:i/>
          <w:iCs/>
          <w:color w:val="595959"/>
          <w:sz w:val="22"/>
          <w:szCs w:val="22"/>
        </w:rPr>
        <w:t xml:space="preserve">Bid Documents, dated [redacted] (Sheets S1.0, S1.1; the full 24-sheet bid set was reviewed for lateral and nonstructural items)</w:t>
      </w:r>
    </w:p>
    <w:p>
      <w:pPr>
        <w:spacing w:after="80"/>
        <w:jc w:val="center"/>
      </w:pPr>
      <w:r>
        <w:rPr>
          <w:sz w:val="22"/>
          <w:szCs w:val="22"/>
        </w:rPr>
        <w:t xml:space="preserve">Prepared by: [Reviewer Name]</w:t>
      </w:r>
    </w:p>
    <w:p>
      <w:pPr>
        <w:spacing w:after="80"/>
        <w:jc w:val="center"/>
      </w:pPr>
      <w:r>
        <w:rPr>
          <w:sz w:val="22"/>
          <w:szCs w:val="22"/>
        </w:rPr>
        <w:t xml:space="preserve">Date: [Report Date]</w:t>
      </w:r>
    </w:p>
    <w:p>
      <w:pPr>
        <w:spacing w:after="3200"/>
        <w:jc w:val="center"/>
      </w:pPr>
      <w:r>
        <w:rPr>
          <w:i/>
          <w:iCs/>
          <w:color w:val="595959"/>
          <w:sz w:val="22"/>
          <w:szCs w:val="22"/>
        </w:rPr>
        <w:t xml:space="preserve">Scope: Lateral (Seismic) Load Path and Design Basis (V3)</w:t>
      </w:r>
    </w:p>
    <w:p>
      <w:pPr>
        <w:jc w:val="center"/>
      </w:pPr>
      <w:r>
        <w:rPr>
          <w:i/>
          <w:iCs/>
          <w:color w:val="595959"/>
          <w:sz w:val="18"/>
          <w:szCs w:val="18"/>
        </w:rPr>
        <w:t xml:space="preserve">This report traces the lateral load path and checks the stated seismic design basis and detailing qualitatively. It does not include load-magnitude or capacity calculations, and it does not replace the engineer of record's responsibility or plan check.</w:t>
      </w:r>
    </w:p>
    <w:p>
      <w:r>
        <w:br w:type="page"/>
      </w:r>
    </w:p>
    <w:p>
      <w:pPr>
        <w:sectPr>
          <w:pgSz w:w="12240" w:h="15840" w:orient="portrait"/>
          <w:pgMar w:top="1080" w:right="1080" w:bottom="1080" w:left="1080" w:header="708" w:footer="708" w:gutter="0"/>
          <w:pgNumType/>
          <w:docGrid w:linePitch="360"/>
        </w:sectPr>
      </w:pPr>
    </w:p>
    <w:p>
      <w:pPr>
        <w:pStyle w:val="Heading1"/>
        <w:pBdr>
          <w:bottom w:val="single" w:color="1F3864" w:sz="6" w:space="4"/>
        </w:pBdr>
        <w:spacing w:after="160" w:before="360"/>
      </w:pPr>
      <w:r>
        <w:rPr>
          <w:b/>
          <w:bCs/>
          <w:color w:val="1F3864"/>
          <w:sz w:val="28"/>
          <w:szCs w:val="28"/>
        </w:rPr>
        <w:t xml:space="preserve">Executive Summary</w:t>
      </w:r>
    </w:p>
    <w:p>
      <w:pPr>
        <w:spacing w:after="160"/>
      </w:pPr>
      <w:r>
        <w:rPr>
          <w:sz w:val="21"/>
          <w:szCs w:val="21"/>
        </w:rPr>
        <w:t xml:space="preserve">This report documents a lateral load path review of the structural sheets (S1.0, S1.1) in the bid set for an existing one-story, split-level institutional building with a crawl space. The full 24-sheet set was also reviewed for lateral and nonstructural items. The structural scope is a floor-leveling and floor-framing repair: new LVL members sistered to existing dropped beams, a rebuilt central beam line on new CMU piers, steel end brackets at the exterior brick walls, and floor sheathing replacement in two rooms. The structural general notes state the existing structure is not being brought up to current code for wind or seismic loads.</w:t>
      </w:r>
    </w:p>
    <w:p>
      <w:pPr>
        <w:spacing w:after="160"/>
      </w:pPr>
      <w:r>
        <w:rPr>
          <w:sz w:val="21"/>
          <w:szCs w:val="21"/>
        </w:rPr>
        <w:t xml:space="preserve">The existing lateral system appears to be perimeter brick bearing walls with wood floor and roof diaphragms. No as-built lateral information is in the set, so the typical lateral path (diaphragm, wall anchorage, walls, foundation) could not be confirmed at any link. That is expected for this scope and is recorded as informational. The review then traced the new work that touches the lateral path.</w:t>
      </w:r>
    </w:p>
    <w:p>
      <w:pPr>
        <w:spacing w:after="160"/>
      </w:pPr>
      <w:r>
        <w:rPr>
          <w:sz w:val="21"/>
          <w:szCs w:val="21"/>
        </w:rPr>
        <w:t xml:space="preserve">Seven findings result: one design-basis inconsistency (no seismic basis or SDC on the structural sheets, while the architectural notes require SDC D ceilings); three broken or unconfirmed path items (floor sheathing replacement without a nailing specification, no positive beam-to-support connection at the new piers, and nonstructural anchorage details); one detailing item to confirm (unreinforced new CMU piers if SDC D applies); one informational existing-condition note; and one reference gap for the skill itself (non-California code edition, IEBC alteration triggers, ceilings and lifts, and wind).</w:t>
      </w:r>
    </w:p>
    <w:p>
      <w:pPr>
        <w:pStyle w:val="Heading1"/>
        <w:pBdr>
          <w:bottom w:val="single" w:color="1F3864" w:sz="6" w:space="4"/>
        </w:pBdr>
        <w:spacing w:after="160" w:before="360"/>
      </w:pPr>
      <w:r>
        <w:rPr>
          <w:b/>
          <w:bCs/>
          <w:color w:val="1F3864"/>
          <w:sz w:val="28"/>
          <w:szCs w:val="28"/>
        </w:rPr>
        <w:t xml:space="preserve">Scope &amp; Limitations</w:t>
      </w:r>
    </w:p>
    <w:p>
      <w:pPr>
        <w:spacing w:after="160"/>
      </w:pPr>
      <w:r>
        <w:rPr>
          <w:sz w:val="21"/>
          <w:szCs w:val="21"/>
        </w:rPr>
        <w:t xml:space="preserve">This review covers the lateral load path, the stated seismic design basis, and the detailing of new work, qualitatively. It does not cover:</w:t>
      </w:r>
    </w:p>
    <w:p>
      <w:pPr>
        <w:pStyle w:val="ListParagraph"/>
        <w:numPr>
          <w:ilvl w:val="0"/>
          <w:numId w:val="1"/>
        </w:numPr>
        <w:spacing w:after="80"/>
      </w:pPr>
      <w:r>
        <w:rPr>
          <w:sz w:val="21"/>
          <w:szCs w:val="21"/>
        </w:rPr>
        <w:t xml:space="preserve">Load magnitude, member sizing, or capacity checks.</w:t>
      </w:r>
    </w:p>
    <w:p>
      <w:pPr>
        <w:pStyle w:val="ListParagraph"/>
        <w:numPr>
          <w:ilvl w:val="0"/>
          <w:numId w:val="1"/>
        </w:numPr>
        <w:spacing w:after="80"/>
      </w:pPr>
      <w:r>
        <w:rPr>
          <w:sz w:val="21"/>
          <w:szCs w:val="21"/>
        </w:rPr>
        <w:t xml:space="preserve">The gravity load path. See the V2 gravity-load-path-qaqc example on the same set.</w:t>
      </w:r>
    </w:p>
    <w:p>
      <w:pPr>
        <w:pStyle w:val="ListParagraph"/>
        <w:numPr>
          <w:ilvl w:val="0"/>
          <w:numId w:val="1"/>
        </w:numPr>
        <w:spacing w:after="80"/>
      </w:pPr>
      <w:r>
        <w:rPr>
          <w:sz w:val="21"/>
          <w:szCs w:val="21"/>
        </w:rPr>
        <w:t xml:space="preserve">Wind load determination. The wind basis is stated as "existing to remain" and was not reviewed.</w:t>
      </w:r>
    </w:p>
    <w:p>
      <w:pPr>
        <w:pStyle w:val="ListParagraph"/>
        <w:numPr>
          <w:ilvl w:val="0"/>
          <w:numId w:val="1"/>
        </w:numPr>
        <w:spacing w:after="80"/>
      </w:pPr>
      <w:r>
        <w:rPr>
          <w:sz w:val="21"/>
          <w:szCs w:val="21"/>
        </w:rPr>
        <w:t xml:space="preserve">Roof framing. There is no roof framing plan in the set; the roof is identified as wood trusses only from the architectural partition detail.</w:t>
      </w:r>
    </w:p>
    <w:p>
      <w:pPr>
        <w:pStyle w:val="ListParagraph"/>
        <w:numPr>
          <w:ilvl w:val="0"/>
          <w:numId w:val="1"/>
        </w:numPr>
        <w:spacing w:after="80"/>
      </w:pPr>
      <w:r>
        <w:rPr>
          <w:sz w:val="21"/>
          <w:szCs w:val="21"/>
        </w:rPr>
        <w:t xml:space="preserve">Existing-building evaluation (IEBC / ASCE 41). The documents state the structure is not being upgraded, and no as-built lateral information is provided.</w:t>
      </w:r>
    </w:p>
    <w:p>
      <w:pPr>
        <w:spacing w:after="160"/>
      </w:pPr>
      <w:r>
        <w:rPr>
          <w:sz w:val="21"/>
          <w:szCs w:val="21"/>
        </w:rPr>
        <w:t xml:space="preserve">Code basis: the set cites IBC 2021, which references ASCE 7-16. The skill's references are written to ASCE 7-22. Provisions cited in this report (for example §12.1.3 load path continuity and §12.1.4 connection to supports) are the same in both editions. Items that depend on IBC/IEBC, SDPWS, or TMS 402 are marked "verify" and are written as confirmation requests, not hard findings.</w:t>
      </w:r>
    </w:p>
    <w:p>
      <w:pPr>
        <w:pStyle w:val="Heading1"/>
        <w:pBdr>
          <w:bottom w:val="single" w:color="1F3864" w:sz="6" w:space="4"/>
        </w:pBdr>
        <w:spacing w:after="160" w:before="360"/>
      </w:pPr>
      <w:r>
        <w:rPr>
          <w:b/>
          <w:bCs/>
          <w:color w:val="1F3864"/>
          <w:sz w:val="28"/>
          <w:szCs w:val="28"/>
        </w:rPr>
        <w:t xml:space="preserve">System Identification &amp; Design Basis</w:t>
      </w:r>
    </w:p>
    <w:p>
      <w:pPr>
        <w:pStyle w:val="ListParagraph"/>
        <w:numPr>
          <w:ilvl w:val="0"/>
          <w:numId w:val="1"/>
        </w:numPr>
        <w:spacing w:after="80"/>
      </w:pPr>
      <w:r>
        <w:rPr>
          <w:sz w:val="21"/>
          <w:szCs w:val="21"/>
        </w:rPr>
        <w:t xml:space="preserve">Lateral system, both directions: presumed existing perimeter brick bearing walls (multi-wythe masonry hatch on S1.0/S1.1). No Table 12.2-1 system applies, because this is existing construction not being upgraded.</w:t>
      </w:r>
    </w:p>
    <w:p>
      <w:pPr>
        <w:pStyle w:val="ListParagraph"/>
        <w:numPr>
          <w:ilvl w:val="0"/>
          <w:numId w:val="1"/>
        </w:numPr>
        <w:spacing w:after="80"/>
      </w:pPr>
      <w:r>
        <w:rPr>
          <w:sz w:val="21"/>
          <w:szCs w:val="21"/>
        </w:rPr>
        <w:t xml:space="preserve">Diaphragms: existing wood floor over the crawl space (joists on dropped beams and masonry piers); existing roof of wood trusses with unknown sheathing. Classification not stated.</w:t>
      </w:r>
    </w:p>
    <w:p>
      <w:pPr>
        <w:pStyle w:val="ListParagraph"/>
        <w:numPr>
          <w:ilvl w:val="0"/>
          <w:numId w:val="1"/>
        </w:numPr>
        <w:spacing w:after="80"/>
      </w:pPr>
      <w:r>
        <w:rPr>
          <w:sz w:val="21"/>
          <w:szCs w:val="21"/>
        </w:rPr>
        <w:t xml:space="preserve">Irregularities: split-level building (T1.1 Code Note 3) implies a stepped diaphragm between the main block and the multipurpose wing. Plan shape includes re-entrant corners at the wing. Neither is evaluated in the documents.</w:t>
      </w:r>
    </w:p>
    <w:p>
      <w:pPr>
        <w:pStyle w:val="ListParagraph"/>
        <w:numPr>
          <w:ilvl w:val="0"/>
          <w:numId w:val="1"/>
        </w:numPr>
        <w:spacing w:after="80"/>
      </w:pPr>
      <w:r>
        <w:rPr>
          <w:sz w:val="21"/>
          <w:szCs w:val="21"/>
        </w:rPr>
        <w:t xml:space="preserve">Foundation: existing exterior wall foundations (not shown); new 24"x24"x8" concrete pier bases on an assumed 1,500 psf soil value.</w:t>
      </w:r>
    </w:p>
    <w:p>
      <w:pPr>
        <w:pStyle w:val="ListParagraph"/>
        <w:numPr>
          <w:ilvl w:val="0"/>
          <w:numId w:val="1"/>
        </w:numPr>
        <w:spacing w:after="80"/>
      </w:pPr>
      <w:r>
        <w:rPr>
          <w:sz w:val="21"/>
          <w:szCs w:val="21"/>
        </w:rPr>
        <w:t xml:space="preserve">Supported components: suspended ceilings (SDC D per architectural notes), braced wood partitions, a replacement enclosed vertical platform lift, and new windows in existing openings.</w:t>
      </w:r>
    </w:p>
    <w:p>
      <w:pPr>
        <w:pStyle w:val="Heading2"/>
        <w:spacing w:after="120" w:before="240"/>
      </w:pPr>
      <w:r>
        <w:rPr>
          <w:b/>
          <w:bCs/>
          <w:color w:val="1F3864"/>
          <w:sz w:val="24"/>
          <w:szCs w:val="24"/>
        </w:rPr>
        <w:t xml:space="preserve">Design Basis: Stated vs. Expected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3780"/>
        <w:gridCol w:w="1600"/>
      </w:tblGrid>
      <w:tr>
        <w:trPr>
          <w:cantSplit/>
          <w:tblHeader/>
        </w:trPr>
        <w:tc>
          <w:tcPr>
            <w:tcW w:type="dxa" w:w="1800"/>
            <w:shd w:fill="1F3864" w:val="clear"/>
            <w:tcMar>
              <w:top w:type="dxa" w:w="80"/>
              <w:left w:type="dxa" w:w="100"/>
              <w:bottom w:type="dxa" w:w="80"/>
              <w:right w:type="dxa" w:w="100"/>
            </w:tcMar>
          </w:tcPr>
          <w:p>
            <w:r>
              <w:rPr>
                <w:b/>
                <w:bCs/>
                <w:color w:val="FFFFFF"/>
                <w:sz w:val="18"/>
                <w:szCs w:val="18"/>
              </w:rPr>
              <w:t xml:space="preserve">Item</w:t>
            </w:r>
          </w:p>
        </w:tc>
        <w:tc>
          <w:tcPr>
            <w:tcW w:type="dxa" w:w="2900"/>
            <w:shd w:fill="1F3864" w:val="clear"/>
            <w:tcMar>
              <w:top w:type="dxa" w:w="80"/>
              <w:left w:type="dxa" w:w="100"/>
              <w:bottom w:type="dxa" w:w="80"/>
              <w:right w:type="dxa" w:w="100"/>
            </w:tcMar>
          </w:tcPr>
          <w:p>
            <w:r>
              <w:rPr>
                <w:b/>
                <w:bCs/>
                <w:color w:val="FFFFFF"/>
                <w:sz w:val="18"/>
                <w:szCs w:val="18"/>
              </w:rPr>
              <w:t xml:space="preserve">Stated on Drawings</w:t>
            </w:r>
          </w:p>
        </w:tc>
        <w:tc>
          <w:tcPr>
            <w:tcW w:type="dxa" w:w="3780"/>
            <w:shd w:fill="1F3864" w:val="clear"/>
            <w:tcMar>
              <w:top w:type="dxa" w:w="80"/>
              <w:left w:type="dxa" w:w="100"/>
              <w:bottom w:type="dxa" w:w="80"/>
              <w:right w:type="dxa" w:w="100"/>
            </w:tcMar>
          </w:tcPr>
          <w:p>
            <w:r>
              <w:rPr>
                <w:b/>
                <w:bCs/>
                <w:color w:val="FFFFFF"/>
                <w:sz w:val="18"/>
                <w:szCs w:val="18"/>
              </w:rPr>
              <w:t xml:space="preserve">Expected</w:t>
            </w:r>
          </w:p>
        </w:tc>
        <w:tc>
          <w:tcPr>
            <w:tcW w:type="dxa" w:w="1600"/>
            <w:shd w:fill="1F3864" w:val="clear"/>
            <w:tcMar>
              <w:top w:type="dxa" w:w="80"/>
              <w:left w:type="dxa" w:w="100"/>
              <w:bottom w:type="dxa" w:w="80"/>
              <w:right w:type="dxa" w:w="100"/>
            </w:tcMar>
          </w:tcPr>
          <w:p>
            <w:r>
              <w:rPr>
                <w:b/>
                <w:bCs/>
                <w:color w:val="FFFFFF"/>
                <w:sz w:val="18"/>
                <w:szCs w:val="18"/>
              </w:rPr>
              <w:t xml:space="preserve">Status</w:t>
            </w:r>
          </w:p>
        </w:tc>
      </w:tr>
      <w:tr>
        <w:trPr>
          <w:cantSplit/>
        </w:trPr>
        <w:tc>
          <w:tcPr>
            <w:tcW w:type="dxa" w:w="1800"/>
            <w:shd w:fill="FFFFFF" w:val="clear"/>
            <w:tcMar>
              <w:top w:type="dxa" w:w="80"/>
              <w:left w:type="dxa" w:w="100"/>
              <w:bottom w:type="dxa" w:w="80"/>
              <w:right w:type="dxa" w:w="100"/>
            </w:tcMar>
          </w:tcPr>
          <w:p>
            <w:r>
              <w:rPr>
                <w:b w:val="false"/>
                <w:bCs w:val="false"/>
                <w:color w:val="000000"/>
                <w:sz w:val="18"/>
                <w:szCs w:val="18"/>
              </w:rPr>
              <w:t xml:space="preserve">Code edition</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IBC 2021 (S1.0, General Note 2)</w:t>
            </w:r>
          </w:p>
        </w:tc>
        <w:tc>
          <w:tcPr>
            <w:tcW w:type="dxa" w:w="3780"/>
            <w:shd w:fill="FFFFFF" w:val="clear"/>
            <w:tcMar>
              <w:top w:type="dxa" w:w="80"/>
              <w:left w:type="dxa" w:w="100"/>
              <w:bottom w:type="dxa" w:w="80"/>
              <w:right w:type="dxa" w:w="100"/>
            </w:tcMar>
          </w:tcPr>
          <w:p>
            <w:r>
              <w:rPr>
                <w:b w:val="false"/>
                <w:bCs w:val="false"/>
                <w:color w:val="000000"/>
                <w:sz w:val="18"/>
                <w:szCs w:val="18"/>
              </w:rPr>
              <w:t xml:space="preserve">IBC 2021 references ASCE 7-16; existing-building work falls under the IEBC 2021 (verify: IEBC). The skill's ASCE 7-22 references were applied only where the provision is the same in ASCE 7-16.</w:t>
            </w:r>
          </w:p>
        </w:tc>
        <w:tc>
          <w:tcPr>
            <w:tcW w:type="dxa" w:w="1600"/>
            <w:shd w:fill="FFFFFF" w:val="clear"/>
            <w:tcMar>
              <w:top w:type="dxa" w:w="80"/>
              <w:left w:type="dxa" w:w="100"/>
              <w:bottom w:type="dxa" w:w="80"/>
              <w:right w:type="dxa" w:w="100"/>
            </w:tcMar>
          </w:tcPr>
          <w:p>
            <w:r>
              <w:rPr>
                <w:b w:val="false"/>
                <w:bCs w:val="false"/>
                <w:color w:val="000000"/>
                <w:sz w:val="18"/>
                <w:szCs w:val="18"/>
              </w:rPr>
              <w:t xml:space="preserve">Flag: IEBC compliance method not stated</w:t>
            </w:r>
          </w:p>
        </w:tc>
      </w:tr>
      <w:tr>
        <w:trPr>
          <w:cantSplit/>
        </w:trPr>
        <w:tc>
          <w:tcPr>
            <w:tcW w:type="dxa" w:w="1800"/>
            <w:shd w:fill="DCE6F1" w:val="clear"/>
            <w:tcMar>
              <w:top w:type="dxa" w:w="80"/>
              <w:left w:type="dxa" w:w="100"/>
              <w:bottom w:type="dxa" w:w="80"/>
              <w:right w:type="dxa" w:w="100"/>
            </w:tcMar>
          </w:tcPr>
          <w:p>
            <w:r>
              <w:rPr>
                <w:b w:val="false"/>
                <w:bCs w:val="false"/>
                <w:color w:val="000000"/>
                <w:sz w:val="18"/>
                <w:szCs w:val="18"/>
              </w:rPr>
              <w:t xml:space="preserve">Seismic / wind basis</w:t>
            </w:r>
          </w:p>
        </w:tc>
        <w:tc>
          <w:tcPr>
            <w:tcW w:type="dxa" w:w="2900"/>
            <w:shd w:fill="DCE6F1" w:val="clear"/>
            <w:tcMar>
              <w:top w:type="dxa" w:w="80"/>
              <w:left w:type="dxa" w:w="100"/>
              <w:bottom w:type="dxa" w:w="80"/>
              <w:right w:type="dxa" w:w="100"/>
            </w:tcMar>
          </w:tcPr>
          <w:p>
            <w:r>
              <w:rPr>
                <w:b w:val="false"/>
                <w:bCs w:val="false"/>
                <w:color w:val="000000"/>
                <w:sz w:val="18"/>
                <w:szCs w:val="18"/>
              </w:rPr>
              <w:t xml:space="preserve">"Snow, wind, seismic loads: existing building to remain. Structure not brought up to meet current codes." (S1.0, Note 1.C)</w:t>
            </w:r>
          </w:p>
        </w:tc>
        <w:tc>
          <w:tcPr>
            <w:tcW w:type="dxa" w:w="3780"/>
            <w:shd w:fill="DCE6F1" w:val="clear"/>
            <w:tcMar>
              <w:top w:type="dxa" w:w="80"/>
              <w:left w:type="dxa" w:w="100"/>
              <w:bottom w:type="dxa" w:w="80"/>
              <w:right w:type="dxa" w:w="100"/>
            </w:tcMar>
          </w:tcPr>
          <w:p>
            <w:r>
              <w:rPr>
                <w:b w:val="false"/>
                <w:bCs w:val="false"/>
                <w:color w:val="000000"/>
                <w:sz w:val="18"/>
                <w:szCs w:val="18"/>
              </w:rPr>
              <w:t xml:space="preserve">A statement of the existing-building compliance path showing the alterations do not trigger lateral upgrade (verify: IEBC 2021 alteration provisions)</w:t>
            </w:r>
          </w:p>
        </w:tc>
        <w:tc>
          <w:tcPr>
            <w:tcW w:type="dxa" w:w="1600"/>
            <w:shd w:fill="DCE6F1" w:val="clear"/>
            <w:tcMar>
              <w:top w:type="dxa" w:w="80"/>
              <w:left w:type="dxa" w:w="100"/>
              <w:bottom w:type="dxa" w:w="80"/>
              <w:right w:type="dxa" w:w="100"/>
            </w:tcMar>
          </w:tcPr>
          <w:p>
            <w:r>
              <w:rPr>
                <w:b w:val="false"/>
                <w:bCs w:val="false"/>
                <w:color w:val="000000"/>
                <w:sz w:val="18"/>
                <w:szCs w:val="18"/>
              </w:rPr>
              <w:t xml:space="preserve">Flag</w:t>
            </w:r>
          </w:p>
        </w:tc>
      </w:tr>
      <w:tr>
        <w:trPr>
          <w:cantSplit/>
        </w:trPr>
        <w:tc>
          <w:tcPr>
            <w:tcW w:type="dxa" w:w="1800"/>
            <w:shd w:fill="FFFFFF" w:val="clear"/>
            <w:tcMar>
              <w:top w:type="dxa" w:w="80"/>
              <w:left w:type="dxa" w:w="100"/>
              <w:bottom w:type="dxa" w:w="80"/>
              <w:right w:type="dxa" w:w="100"/>
            </w:tcMar>
          </w:tcPr>
          <w:p>
            <w:r>
              <w:rPr>
                <w:b w:val="false"/>
                <w:bCs w:val="false"/>
                <w:color w:val="000000"/>
                <w:sz w:val="18"/>
                <w:szCs w:val="18"/>
              </w:rPr>
              <w:t xml:space="preserve">Risk category / I_e</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Not stated</w:t>
            </w:r>
          </w:p>
        </w:tc>
        <w:tc>
          <w:tcPr>
            <w:tcW w:type="dxa" w:w="3780"/>
            <w:shd w:fill="FFFFFF" w:val="clear"/>
            <w:tcMar>
              <w:top w:type="dxa" w:w="80"/>
              <w:left w:type="dxa" w:w="100"/>
              <w:bottom w:type="dxa" w:w="80"/>
              <w:right w:type="dxa" w:w="100"/>
            </w:tcMar>
          </w:tcPr>
          <w:p>
            <w:r>
              <w:rPr>
                <w:b w:val="false"/>
                <w:bCs w:val="false"/>
                <w:color w:val="000000"/>
                <w:sz w:val="18"/>
                <w:szCs w:val="18"/>
              </w:rPr>
              <w:t xml:space="preserve">Stated on general notes. Assembly area of 261 occupants (T1.1); confirm RC II vs. III per IBC Table 1604.5</w:t>
            </w:r>
          </w:p>
        </w:tc>
        <w:tc>
          <w:tcPr>
            <w:tcW w:type="dxa" w:w="1600"/>
            <w:shd w:fill="FFFFFF" w:val="clear"/>
            <w:tcMar>
              <w:top w:type="dxa" w:w="80"/>
              <w:left w:type="dxa" w:w="100"/>
              <w:bottom w:type="dxa" w:w="80"/>
              <w:right w:type="dxa" w:w="100"/>
            </w:tcMar>
          </w:tcPr>
          <w:p>
            <w:r>
              <w:rPr>
                <w:b w:val="false"/>
                <w:bCs w:val="false"/>
                <w:color w:val="000000"/>
                <w:sz w:val="18"/>
                <w:szCs w:val="18"/>
              </w:rPr>
              <w:t xml:space="preserve">Flag</w:t>
            </w:r>
          </w:p>
        </w:tc>
      </w:tr>
      <w:tr>
        <w:trPr>
          <w:cantSplit/>
        </w:trPr>
        <w:tc>
          <w:tcPr>
            <w:tcW w:type="dxa" w:w="1800"/>
            <w:shd w:fill="DCE6F1" w:val="clear"/>
            <w:tcMar>
              <w:top w:type="dxa" w:w="80"/>
              <w:left w:type="dxa" w:w="100"/>
              <w:bottom w:type="dxa" w:w="80"/>
              <w:right w:type="dxa" w:w="100"/>
            </w:tcMar>
          </w:tcPr>
          <w:p>
            <w:r>
              <w:rPr>
                <w:b w:val="false"/>
                <w:bCs w:val="false"/>
                <w:color w:val="000000"/>
                <w:sz w:val="18"/>
                <w:szCs w:val="18"/>
              </w:rPr>
              <w:t xml:space="preserve">Site class; S_DS, S_D1</w:t>
            </w:r>
          </w:p>
        </w:tc>
        <w:tc>
          <w:tcPr>
            <w:tcW w:type="dxa" w:w="2900"/>
            <w:shd w:fill="DCE6F1" w:val="clear"/>
            <w:tcMar>
              <w:top w:type="dxa" w:w="80"/>
              <w:left w:type="dxa" w:w="100"/>
              <w:bottom w:type="dxa" w:w="80"/>
              <w:right w:type="dxa" w:w="100"/>
            </w:tcMar>
          </w:tcPr>
          <w:p>
            <w:r>
              <w:rPr>
                <w:b w:val="false"/>
                <w:bCs w:val="false"/>
                <w:color w:val="000000"/>
                <w:sz w:val="18"/>
                <w:szCs w:val="18"/>
              </w:rPr>
              <w:t xml:space="preserve">Not stated</w:t>
            </w:r>
          </w:p>
        </w:tc>
        <w:tc>
          <w:tcPr>
            <w:tcW w:type="dxa" w:w="3780"/>
            <w:shd w:fill="DCE6F1" w:val="clear"/>
            <w:tcMar>
              <w:top w:type="dxa" w:w="80"/>
              <w:left w:type="dxa" w:w="100"/>
              <w:bottom w:type="dxa" w:w="80"/>
              <w:right w:type="dxa" w:w="100"/>
            </w:tcMar>
          </w:tcPr>
          <w:p>
            <w:r>
              <w:rPr>
                <w:b w:val="false"/>
                <w:bCs w:val="false"/>
                <w:color w:val="000000"/>
                <w:sz w:val="18"/>
                <w:szCs w:val="18"/>
              </w:rPr>
              <w:t xml:space="preserve">Stated, from the ASCE 7-16 values for the site</w:t>
            </w:r>
          </w:p>
        </w:tc>
        <w:tc>
          <w:tcPr>
            <w:tcW w:type="dxa" w:w="1600"/>
            <w:shd w:fill="DCE6F1" w:val="clear"/>
            <w:tcMar>
              <w:top w:type="dxa" w:w="80"/>
              <w:left w:type="dxa" w:w="100"/>
              <w:bottom w:type="dxa" w:w="80"/>
              <w:right w:type="dxa" w:w="100"/>
            </w:tcMar>
          </w:tcPr>
          <w:p>
            <w:r>
              <w:rPr>
                <w:b w:val="false"/>
                <w:bCs w:val="false"/>
                <w:color w:val="000000"/>
                <w:sz w:val="18"/>
                <w:szCs w:val="18"/>
              </w:rPr>
              <w:t xml:space="preserve">Flag</w:t>
            </w:r>
          </w:p>
        </w:tc>
      </w:tr>
      <w:tr>
        <w:trPr>
          <w:cantSplit/>
        </w:trPr>
        <w:tc>
          <w:tcPr>
            <w:tcW w:type="dxa" w:w="1800"/>
            <w:shd w:fill="FFFFFF" w:val="clear"/>
            <w:tcMar>
              <w:top w:type="dxa" w:w="80"/>
              <w:left w:type="dxa" w:w="100"/>
              <w:bottom w:type="dxa" w:w="80"/>
              <w:right w:type="dxa" w:w="100"/>
            </w:tcMar>
          </w:tcPr>
          <w:p>
            <w:r>
              <w:rPr>
                <w:b w:val="false"/>
                <w:bCs w:val="false"/>
                <w:color w:val="000000"/>
                <w:sz w:val="18"/>
                <w:szCs w:val="18"/>
              </w:rPr>
              <w:t xml:space="preserve">SDC</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Not stated on structural sheets. Architectural T1.1 General Note 6: ceilings and ceiling-mounted fixtures "per current code as Seismic Design Category D"</w:t>
            </w:r>
          </w:p>
        </w:tc>
        <w:tc>
          <w:tcPr>
            <w:tcW w:type="dxa" w:w="3780"/>
            <w:shd w:fill="FFFFFF" w:val="clear"/>
            <w:tcMar>
              <w:top w:type="dxa" w:w="80"/>
              <w:left w:type="dxa" w:w="100"/>
              <w:bottom w:type="dxa" w:w="80"/>
              <w:right w:type="dxa" w:w="100"/>
            </w:tcMar>
          </w:tcPr>
          <w:p>
            <w:r>
              <w:rPr>
                <w:b w:val="false"/>
                <w:bCs w:val="false"/>
                <w:color w:val="000000"/>
                <w:sz w:val="18"/>
                <w:szCs w:val="18"/>
              </w:rPr>
              <w:t xml:space="preserve">One SDC, stated on the structural sheets and consistent with the architectural requirement</w:t>
            </w:r>
          </w:p>
        </w:tc>
        <w:tc>
          <w:tcPr>
            <w:tcW w:type="dxa" w:w="1600"/>
            <w:shd w:fill="FFFFFF" w:val="clear"/>
            <w:tcMar>
              <w:top w:type="dxa" w:w="80"/>
              <w:left w:type="dxa" w:w="100"/>
              <w:bottom w:type="dxa" w:w="80"/>
              <w:right w:type="dxa" w:w="100"/>
            </w:tcMar>
          </w:tcPr>
          <w:p>
            <w:r>
              <w:rPr>
                <w:b w:val="false"/>
                <w:bCs w:val="false"/>
                <w:color w:val="000000"/>
                <w:sz w:val="18"/>
                <w:szCs w:val="18"/>
              </w:rPr>
              <w:t xml:space="preserve">Flag: inconsistent / incomplete</w:t>
            </w:r>
          </w:p>
        </w:tc>
      </w:tr>
      <w:tr>
        <w:trPr>
          <w:cantSplit/>
        </w:trPr>
        <w:tc>
          <w:tcPr>
            <w:tcW w:type="dxa" w:w="1800"/>
            <w:shd w:fill="DCE6F1" w:val="clear"/>
            <w:tcMar>
              <w:top w:type="dxa" w:w="80"/>
              <w:left w:type="dxa" w:w="100"/>
              <w:bottom w:type="dxa" w:w="80"/>
              <w:right w:type="dxa" w:w="100"/>
            </w:tcMar>
          </w:tcPr>
          <w:p>
            <w:r>
              <w:rPr>
                <w:b w:val="false"/>
                <w:bCs w:val="false"/>
                <w:color w:val="000000"/>
                <w:sz w:val="18"/>
                <w:szCs w:val="18"/>
              </w:rPr>
              <w:t xml:space="preserve">SFRS (each direction)</w:t>
            </w:r>
          </w:p>
        </w:tc>
        <w:tc>
          <w:tcPr>
            <w:tcW w:type="dxa" w:w="2900"/>
            <w:shd w:fill="DCE6F1" w:val="clear"/>
            <w:tcMar>
              <w:top w:type="dxa" w:w="80"/>
              <w:left w:type="dxa" w:w="100"/>
              <w:bottom w:type="dxa" w:w="80"/>
              <w:right w:type="dxa" w:w="100"/>
            </w:tcMar>
          </w:tcPr>
          <w:p>
            <w:r>
              <w:rPr>
                <w:b w:val="false"/>
                <w:bCs w:val="false"/>
                <w:color w:val="000000"/>
                <w:sz w:val="18"/>
                <w:szCs w:val="18"/>
              </w:rPr>
              <w:t xml:space="preserve">Not stated</w:t>
            </w:r>
          </w:p>
        </w:tc>
        <w:tc>
          <w:tcPr>
            <w:tcW w:type="dxa" w:w="3780"/>
            <w:shd w:fill="DCE6F1" w:val="clear"/>
            <w:tcMar>
              <w:top w:type="dxa" w:w="80"/>
              <w:left w:type="dxa" w:w="100"/>
              <w:bottom w:type="dxa" w:w="80"/>
              <w:right w:type="dxa" w:w="100"/>
            </w:tcMar>
          </w:tcPr>
          <w:p>
            <w:r>
              <w:rPr>
                <w:b w:val="false"/>
                <w:bCs w:val="false"/>
                <w:color w:val="000000"/>
                <w:sz w:val="18"/>
                <w:szCs w:val="18"/>
              </w:rPr>
              <w:t xml:space="preserve">Existing: appears to be perimeter brick bearing walls with wood floor and roof diaphragms (not confirmed, no as-built information)</w:t>
            </w:r>
          </w:p>
        </w:tc>
        <w:tc>
          <w:tcPr>
            <w:tcW w:type="dxa" w:w="1600"/>
            <w:shd w:fill="DCE6F1" w:val="clear"/>
            <w:tcMar>
              <w:top w:type="dxa" w:w="80"/>
              <w:left w:type="dxa" w:w="100"/>
              <w:bottom w:type="dxa" w:w="80"/>
              <w:right w:type="dxa" w:w="100"/>
            </w:tcMar>
          </w:tcPr>
          <w:p>
            <w:r>
              <w:rPr>
                <w:b w:val="false"/>
                <w:bCs w:val="false"/>
                <w:color w:val="000000"/>
                <w:sz w:val="18"/>
                <w:szCs w:val="18"/>
              </w:rPr>
              <w:t xml:space="preserve">Informational</w:t>
            </w:r>
          </w:p>
        </w:tc>
      </w:tr>
      <w:tr>
        <w:trPr>
          <w:cantSplit/>
        </w:trPr>
        <w:tc>
          <w:tcPr>
            <w:tcW w:type="dxa" w:w="1800"/>
            <w:shd w:fill="FFFFFF" w:val="clear"/>
            <w:tcMar>
              <w:top w:type="dxa" w:w="80"/>
              <w:left w:type="dxa" w:w="100"/>
              <w:bottom w:type="dxa" w:w="80"/>
              <w:right w:type="dxa" w:w="100"/>
            </w:tcMar>
          </w:tcPr>
          <w:p>
            <w:r>
              <w:rPr>
                <w:b w:val="false"/>
                <w:bCs w:val="false"/>
                <w:color w:val="000000"/>
                <w:sz w:val="18"/>
                <w:szCs w:val="18"/>
              </w:rPr>
              <w:t xml:space="preserve">R / Ω₀ / C_d; ρ</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Not stated</w:t>
            </w:r>
          </w:p>
        </w:tc>
        <w:tc>
          <w:tcPr>
            <w:tcW w:type="dxa" w:w="3780"/>
            <w:shd w:fill="FFFFFF" w:val="clear"/>
            <w:tcMar>
              <w:top w:type="dxa" w:w="80"/>
              <w:left w:type="dxa" w:w="100"/>
              <w:bottom w:type="dxa" w:w="80"/>
              <w:right w:type="dxa" w:w="100"/>
            </w:tcMar>
          </w:tcPr>
          <w:p>
            <w:r>
              <w:rPr>
                <w:b w:val="false"/>
                <w:bCs w:val="false"/>
                <w:color w:val="000000"/>
                <w:sz w:val="18"/>
                <w:szCs w:val="18"/>
              </w:rPr>
              <w:t xml:space="preserve">Not applicable unless the alteration triggers lateral evaluation</w:t>
            </w:r>
          </w:p>
        </w:tc>
        <w:tc>
          <w:tcPr>
            <w:tcW w:type="dxa" w:w="1600"/>
            <w:shd w:fill="FFFFFF" w:val="clear"/>
            <w:tcMar>
              <w:top w:type="dxa" w:w="80"/>
              <w:left w:type="dxa" w:w="100"/>
              <w:bottom w:type="dxa" w:w="80"/>
              <w:right w:type="dxa" w:w="100"/>
            </w:tcMar>
          </w:tcPr>
          <w:p>
            <w:r>
              <w:rPr>
                <w:b w:val="false"/>
                <w:bCs w:val="false"/>
                <w:color w:val="000000"/>
                <w:sz w:val="18"/>
                <w:szCs w:val="18"/>
              </w:rPr>
              <w:t xml:space="preserve">N/A</w:t>
            </w:r>
          </w:p>
        </w:tc>
      </w:tr>
      <w:tr>
        <w:trPr>
          <w:cantSplit/>
        </w:trPr>
        <w:tc>
          <w:tcPr>
            <w:tcW w:type="dxa" w:w="1800"/>
            <w:shd w:fill="DCE6F1" w:val="clear"/>
            <w:tcMar>
              <w:top w:type="dxa" w:w="80"/>
              <w:left w:type="dxa" w:w="100"/>
              <w:bottom w:type="dxa" w:w="80"/>
              <w:right w:type="dxa" w:w="100"/>
            </w:tcMar>
          </w:tcPr>
          <w:p>
            <w:r>
              <w:rPr>
                <w:b w:val="false"/>
                <w:bCs w:val="false"/>
                <w:color w:val="000000"/>
                <w:sz w:val="18"/>
                <w:szCs w:val="18"/>
              </w:rPr>
              <w:t xml:space="preserve">Diaphragm classification</w:t>
            </w:r>
          </w:p>
        </w:tc>
        <w:tc>
          <w:tcPr>
            <w:tcW w:type="dxa" w:w="2900"/>
            <w:shd w:fill="DCE6F1" w:val="clear"/>
            <w:tcMar>
              <w:top w:type="dxa" w:w="80"/>
              <w:left w:type="dxa" w:w="100"/>
              <w:bottom w:type="dxa" w:w="80"/>
              <w:right w:type="dxa" w:w="100"/>
            </w:tcMar>
          </w:tcPr>
          <w:p>
            <w:r>
              <w:rPr>
                <w:b w:val="false"/>
                <w:bCs w:val="false"/>
                <w:color w:val="000000"/>
                <w:sz w:val="18"/>
                <w:szCs w:val="18"/>
              </w:rPr>
              <w:t xml:space="preserve">Not stated</w:t>
            </w:r>
          </w:p>
        </w:tc>
        <w:tc>
          <w:tcPr>
            <w:tcW w:type="dxa" w:w="3780"/>
            <w:shd w:fill="DCE6F1" w:val="clear"/>
            <w:tcMar>
              <w:top w:type="dxa" w:w="80"/>
              <w:left w:type="dxa" w:w="100"/>
              <w:bottom w:type="dxa" w:w="80"/>
              <w:right w:type="dxa" w:w="100"/>
            </w:tcMar>
          </w:tcPr>
          <w:p>
            <w:r>
              <w:rPr>
                <w:b w:val="false"/>
                <w:bCs w:val="false"/>
                <w:color w:val="000000"/>
                <w:sz w:val="18"/>
                <w:szCs w:val="18"/>
              </w:rPr>
              <w:t xml:space="preserve">Existing wood floor and roof diaphragms; not applicable unless lateral evaluation is triggered</w:t>
            </w:r>
          </w:p>
        </w:tc>
        <w:tc>
          <w:tcPr>
            <w:tcW w:type="dxa" w:w="1600"/>
            <w:shd w:fill="DCE6F1" w:val="clear"/>
            <w:tcMar>
              <w:top w:type="dxa" w:w="80"/>
              <w:left w:type="dxa" w:w="100"/>
              <w:bottom w:type="dxa" w:w="80"/>
              <w:right w:type="dxa" w:w="100"/>
            </w:tcMar>
          </w:tcPr>
          <w:p>
            <w:r>
              <w:rPr>
                <w:b w:val="false"/>
                <w:bCs w:val="false"/>
                <w:color w:val="000000"/>
                <w:sz w:val="18"/>
                <w:szCs w:val="18"/>
              </w:rPr>
              <w:t xml:space="preserve">N/A</w:t>
            </w:r>
          </w:p>
        </w:tc>
      </w:tr>
      <w:tr>
        <w:trPr>
          <w:cantSplit/>
        </w:trPr>
        <w:tc>
          <w:tcPr>
            <w:tcW w:type="dxa" w:w="1800"/>
            <w:shd w:fill="FFFFFF" w:val="clear"/>
            <w:tcMar>
              <w:top w:type="dxa" w:w="80"/>
              <w:left w:type="dxa" w:w="100"/>
              <w:bottom w:type="dxa" w:w="80"/>
              <w:right w:type="dxa" w:w="100"/>
            </w:tcMar>
          </w:tcPr>
          <w:p>
            <w:r>
              <w:rPr>
                <w:b w:val="false"/>
                <w:bCs w:val="false"/>
                <w:color w:val="000000"/>
                <w:sz w:val="18"/>
                <w:szCs w:val="18"/>
              </w:rPr>
              <w:t xml:space="preserve">Analysis procedure, base shear, drift</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Not stated</w:t>
            </w:r>
          </w:p>
        </w:tc>
        <w:tc>
          <w:tcPr>
            <w:tcW w:type="dxa" w:w="3780"/>
            <w:shd w:fill="FFFFFF" w:val="clear"/>
            <w:tcMar>
              <w:top w:type="dxa" w:w="80"/>
              <w:left w:type="dxa" w:w="100"/>
              <w:bottom w:type="dxa" w:w="80"/>
              <w:right w:type="dxa" w:w="100"/>
            </w:tcMar>
          </w:tcPr>
          <w:p>
            <w:r>
              <w:rPr>
                <w:b w:val="false"/>
                <w:bCs w:val="false"/>
                <w:color w:val="000000"/>
                <w:sz w:val="18"/>
                <w:szCs w:val="18"/>
              </w:rPr>
              <w:t xml:space="preserve">Not applicable unless lateral evaluation is triggered</w:t>
            </w:r>
          </w:p>
        </w:tc>
        <w:tc>
          <w:tcPr>
            <w:tcW w:type="dxa" w:w="1600"/>
            <w:shd w:fill="FFFFFF" w:val="clear"/>
            <w:tcMar>
              <w:top w:type="dxa" w:w="80"/>
              <w:left w:type="dxa" w:w="100"/>
              <w:bottom w:type="dxa" w:w="80"/>
              <w:right w:type="dxa" w:w="100"/>
            </w:tcMar>
          </w:tcPr>
          <w:p>
            <w:r>
              <w:rPr>
                <w:b w:val="false"/>
                <w:bCs w:val="false"/>
                <w:color w:val="000000"/>
                <w:sz w:val="18"/>
                <w:szCs w:val="18"/>
              </w:rPr>
              <w:t xml:space="preserve">N/A</w:t>
            </w:r>
          </w:p>
        </w:tc>
      </w:tr>
      <w:tr>
        <w:trPr>
          <w:cantSplit/>
        </w:trPr>
        <w:tc>
          <w:tcPr>
            <w:tcW w:type="dxa" w:w="1800"/>
            <w:shd w:fill="DCE6F1" w:val="clear"/>
            <w:tcMar>
              <w:top w:type="dxa" w:w="80"/>
              <w:left w:type="dxa" w:w="100"/>
              <w:bottom w:type="dxa" w:w="80"/>
              <w:right w:type="dxa" w:w="100"/>
            </w:tcMar>
          </w:tcPr>
          <w:p>
            <w:r>
              <w:rPr>
                <w:b w:val="false"/>
                <w:bCs w:val="false"/>
                <w:color w:val="000000"/>
                <w:sz w:val="18"/>
                <w:szCs w:val="18"/>
              </w:rPr>
              <w:t xml:space="preserve">Soil</w:t>
            </w:r>
          </w:p>
        </w:tc>
        <w:tc>
          <w:tcPr>
            <w:tcW w:type="dxa" w:w="2900"/>
            <w:shd w:fill="DCE6F1" w:val="clear"/>
            <w:tcMar>
              <w:top w:type="dxa" w:w="80"/>
              <w:left w:type="dxa" w:w="100"/>
              <w:bottom w:type="dxa" w:w="80"/>
              <w:right w:type="dxa" w:w="100"/>
            </w:tcMar>
          </w:tcPr>
          <w:p>
            <w:r>
              <w:rPr>
                <w:b w:val="false"/>
                <w:bCs w:val="false"/>
                <w:color w:val="000000"/>
                <w:sz w:val="18"/>
                <w:szCs w:val="18"/>
              </w:rPr>
              <w:t xml:space="preserve">Assumed allowable bearing 1,500 psf (S1.0 Soil Note 1); no geotechnical report</w:t>
            </w:r>
          </w:p>
        </w:tc>
        <w:tc>
          <w:tcPr>
            <w:tcW w:type="dxa" w:w="3780"/>
            <w:shd w:fill="DCE6F1" w:val="clear"/>
            <w:tcMar>
              <w:top w:type="dxa" w:w="80"/>
              <w:left w:type="dxa" w:w="100"/>
              <w:bottom w:type="dxa" w:w="80"/>
              <w:right w:type="dxa" w:w="100"/>
            </w:tcMar>
          </w:tcPr>
          <w:p>
            <w:r>
              <w:rPr>
                <w:b w:val="false"/>
                <w:bCs w:val="false"/>
                <w:color w:val="000000"/>
                <w:sz w:val="18"/>
                <w:szCs w:val="18"/>
              </w:rPr>
              <w:t xml:space="preserve">Adequate for the gravity sizing of new pier bases; no lateral soil values are needed for the new work</w:t>
            </w:r>
          </w:p>
        </w:tc>
        <w:tc>
          <w:tcPr>
            <w:tcW w:type="dxa" w:w="1600"/>
            <w:shd w:fill="DCE6F1" w:val="clear"/>
            <w:tcMar>
              <w:top w:type="dxa" w:w="80"/>
              <w:left w:type="dxa" w:w="100"/>
              <w:bottom w:type="dxa" w:w="80"/>
              <w:right w:type="dxa" w:w="100"/>
            </w:tcMar>
          </w:tcPr>
          <w:p>
            <w:r>
              <w:rPr>
                <w:b w:val="false"/>
                <w:bCs w:val="false"/>
                <w:color w:val="000000"/>
                <w:sz w:val="18"/>
                <w:szCs w:val="18"/>
              </w:rPr>
              <w:t xml:space="preserve">OK for scope</w:t>
            </w:r>
          </w:p>
        </w:tc>
      </w:tr>
    </w:tbl>
    <w:p>
      <w:pPr>
        <w:pStyle w:val="Heading1"/>
        <w:pBdr>
          <w:bottom w:val="single" w:color="1F3864" w:sz="6" w:space="4"/>
        </w:pBdr>
        <w:spacing w:after="160" w:before="360"/>
      </w:pPr>
      <w:r>
        <w:rPr>
          <w:b/>
          <w:bCs/>
          <w:color w:val="1F3864"/>
          <w:sz w:val="28"/>
          <w:szCs w:val="28"/>
        </w:rPr>
        <w:t xml:space="preserve">Load Path Trace</w:t>
      </w:r>
    </w:p>
    <w:p>
      <w:pPr>
        <w:pStyle w:val="Heading2"/>
        <w:spacing w:after="120" w:before="240"/>
      </w:pPr>
      <w:r>
        <w:rPr>
          <w:b/>
          <w:bCs/>
          <w:color w:val="1F3864"/>
          <w:sz w:val="24"/>
          <w:szCs w:val="24"/>
        </w:rPr>
        <w:t xml:space="preserve">Typical Line of Resistance: Exterior Brick Wall Line (N-S; E-W walls are the same type)</w:t>
      </w:r>
    </w:p>
    <w:p>
      <w:pPr>
        <w:spacing w:after="160"/>
      </w:pPr>
      <w:r>
        <w:rPr>
          <w:sz w:val="21"/>
          <w:szCs w:val="21"/>
        </w:rPr>
        <w:t xml:space="preserve">Representative condition: the long exterior brick wall line, which is the only apparent vertical lateral element in each direction. The end walls (E-W) are the same construction and would trace the same way. Every link below is existing construction with no information in the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1300"/>
        <w:gridCol w:w="2680"/>
      </w:tblGrid>
      <w:tr>
        <w:trPr>
          <w:cantSplit/>
          <w:tblHeader/>
        </w:trPr>
        <w:tc>
          <w:tcPr>
            <w:tcW w:type="dxa" w:w="1500"/>
            <w:shd w:fill="1F3864" w:val="clear"/>
            <w:tcMar>
              <w:top w:type="dxa" w:w="80"/>
              <w:left w:type="dxa" w:w="100"/>
              <w:bottom w:type="dxa" w:w="80"/>
              <w:right w:type="dxa" w:w="100"/>
            </w:tcMar>
          </w:tcPr>
          <w:p>
            <w:r>
              <w:rPr>
                <w:b/>
                <w:bCs/>
                <w:color w:val="FFFFFF"/>
                <w:sz w:val="18"/>
                <w:szCs w:val="18"/>
              </w:rPr>
              <w:t xml:space="preserve">Link</w:t>
            </w:r>
          </w:p>
        </w:tc>
        <w:tc>
          <w:tcPr>
            <w:tcW w:type="dxa" w:w="2300"/>
            <w:shd w:fill="1F3864" w:val="clear"/>
            <w:tcMar>
              <w:top w:type="dxa" w:w="80"/>
              <w:left w:type="dxa" w:w="100"/>
              <w:bottom w:type="dxa" w:w="80"/>
              <w:right w:type="dxa" w:w="100"/>
            </w:tcMar>
          </w:tcPr>
          <w:p>
            <w:r>
              <w:rPr>
                <w:b/>
                <w:bCs/>
                <w:color w:val="FFFFFF"/>
                <w:sz w:val="18"/>
                <w:szCs w:val="18"/>
              </w:rPr>
              <w:t xml:space="preserve">Element</w:t>
            </w:r>
          </w:p>
        </w:tc>
        <w:tc>
          <w:tcPr>
            <w:tcW w:type="dxa" w:w="2300"/>
            <w:shd w:fill="1F3864" w:val="clear"/>
            <w:tcMar>
              <w:top w:type="dxa" w:w="80"/>
              <w:left w:type="dxa" w:w="100"/>
              <w:bottom w:type="dxa" w:w="80"/>
              <w:right w:type="dxa" w:w="100"/>
            </w:tcMar>
          </w:tcPr>
          <w:p>
            <w:r>
              <w:rPr>
                <w:b/>
                <w:bCs/>
                <w:color w:val="FFFFFF"/>
                <w:sz w:val="18"/>
                <w:szCs w:val="18"/>
              </w:rPr>
              <w:t xml:space="preserve">Mechanism / Force Direction</w:t>
            </w:r>
          </w:p>
        </w:tc>
        <w:tc>
          <w:tcPr>
            <w:tcW w:type="dxa" w:w="1300"/>
            <w:shd w:fill="1F3864" w:val="clear"/>
            <w:tcMar>
              <w:top w:type="dxa" w:w="80"/>
              <w:left w:type="dxa" w:w="100"/>
              <w:bottom w:type="dxa" w:w="80"/>
              <w:right w:type="dxa" w:w="100"/>
            </w:tcMar>
          </w:tcPr>
          <w:p>
            <w:r>
              <w:rPr>
                <w:b/>
                <w:bCs/>
                <w:color w:val="FFFFFF"/>
                <w:sz w:val="18"/>
                <w:szCs w:val="18"/>
              </w:rPr>
              <w:t xml:space="preserve">Verified?</w:t>
            </w:r>
          </w:p>
        </w:tc>
        <w:tc>
          <w:tcPr>
            <w:tcW w:type="dxa" w:w="2680"/>
            <w:shd w:fill="1F3864" w:val="clear"/>
            <w:tcMar>
              <w:top w:type="dxa" w:w="80"/>
              <w:left w:type="dxa" w:w="100"/>
              <w:bottom w:type="dxa" w:w="80"/>
              <w:right w:type="dxa" w:w="100"/>
            </w:tcMar>
          </w:tcPr>
          <w:p>
            <w:r>
              <w:rPr>
                <w:b/>
                <w:bCs/>
                <w:color w:val="FFFFFF"/>
                <w:sz w:val="18"/>
                <w:szCs w:val="18"/>
              </w:rPr>
              <w:t xml:space="preserve">Notes / Flags</w:t>
            </w:r>
          </w:p>
        </w:tc>
      </w:tr>
      <w:tr>
        <w:trPr>
          <w:cantSplit/>
        </w:trPr>
        <w:tc>
          <w:tcPr>
            <w:tcW w:type="dxa" w:w="1500"/>
            <w:shd w:fill="FFFFFF" w:val="clear"/>
            <w:tcMar>
              <w:top w:type="dxa" w:w="80"/>
              <w:left w:type="dxa" w:w="100"/>
              <w:bottom w:type="dxa" w:w="80"/>
              <w:right w:type="dxa" w:w="100"/>
            </w:tcMar>
          </w:tcPr>
          <w:p>
            <w:r>
              <w:rPr>
                <w:b w:val="false"/>
                <w:bCs w:val="false"/>
                <w:color w:val="000000"/>
                <w:sz w:val="18"/>
                <w:szCs w:val="18"/>
              </w:rPr>
              <w:t xml:space="preserve">1. Load into diaphragm</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Floor and roof mass; exterior brick walls loaded out-of-plane</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Wall-to-floor and wall-to-roof anchorage</w:t>
            </w:r>
          </w:p>
        </w:tc>
        <w:tc>
          <w:tcPr>
            <w:tcW w:type="dxa" w:w="1300"/>
            <w:shd w:fill="FFFFFF" w:val="clear"/>
            <w:tcMar>
              <w:top w:type="dxa" w:w="80"/>
              <w:left w:type="dxa" w:w="100"/>
              <w:bottom w:type="dxa" w:w="80"/>
              <w:right w:type="dxa" w:w="100"/>
            </w:tcMar>
          </w:tcPr>
          <w:p>
            <w:r>
              <w:rPr>
                <w:b w:val="false"/>
                <w:bCs w:val="false"/>
                <w:color w:val="000000"/>
                <w:sz w:val="18"/>
                <w:szCs w:val="18"/>
              </w:rPr>
              <w:t xml:space="preserve">Not shown (existing)</w:t>
            </w:r>
          </w:p>
        </w:tc>
        <w:tc>
          <w:tcPr>
            <w:tcW w:type="dxa" w:w="2680"/>
            <w:shd w:fill="FFFFFF" w:val="clear"/>
            <w:tcMar>
              <w:top w:type="dxa" w:w="80"/>
              <w:left w:type="dxa" w:w="100"/>
              <w:bottom w:type="dxa" w:w="80"/>
              <w:right w:type="dxa" w:w="100"/>
            </w:tcMar>
          </w:tcPr>
          <w:p>
            <w:r>
              <w:rPr>
                <w:b w:val="false"/>
                <w:bCs w:val="false"/>
                <w:color w:val="000000"/>
                <w:sz w:val="18"/>
                <w:szCs w:val="18"/>
              </w:rPr>
              <w:t xml:space="preserve">No wall anchorage, ledger, or wall-pocket detail in the set. Roof is wood trusses (A1.2 partition detail); no roof framing or sheathing information.</w:t>
            </w:r>
          </w:p>
        </w:tc>
      </w:tr>
      <w:tr>
        <w:trPr>
          <w:cantSplit/>
        </w:trPr>
        <w:tc>
          <w:tcPr>
            <w:tcW w:type="dxa" w:w="1500"/>
            <w:shd w:fill="DCE6F1" w:val="clear"/>
            <w:tcMar>
              <w:top w:type="dxa" w:w="80"/>
              <w:left w:type="dxa" w:w="100"/>
              <w:bottom w:type="dxa" w:w="80"/>
              <w:right w:type="dxa" w:w="100"/>
            </w:tcMar>
          </w:tcPr>
          <w:p>
            <w:r>
              <w:rPr>
                <w:b w:val="false"/>
                <w:bCs w:val="false"/>
                <w:color w:val="000000"/>
                <w:sz w:val="18"/>
                <w:szCs w:val="18"/>
              </w:rPr>
              <w:t xml:space="preserve">2. Across diaphragm / chords</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Existing wood floor sheathing on existing joists</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Sheathing nailed to joists; chords at the perimeter rim or wall bearing</w:t>
            </w:r>
          </w:p>
        </w:tc>
        <w:tc>
          <w:tcPr>
            <w:tcW w:type="dxa" w:w="1300"/>
            <w:shd w:fill="DCE6F1" w:val="clear"/>
            <w:tcMar>
              <w:top w:type="dxa" w:w="80"/>
              <w:left w:type="dxa" w:w="100"/>
              <w:bottom w:type="dxa" w:w="80"/>
              <w:right w:type="dxa" w:w="100"/>
            </w:tcMar>
          </w:tcPr>
          <w:p>
            <w:r>
              <w:rPr>
                <w:b w:val="false"/>
                <w:bCs w:val="false"/>
                <w:color w:val="000000"/>
                <w:sz w:val="18"/>
                <w:szCs w:val="18"/>
              </w:rPr>
              <w:t xml:space="preserve">Not shown (existing)</w:t>
            </w:r>
          </w:p>
        </w:tc>
        <w:tc>
          <w:tcPr>
            <w:tcW w:type="dxa" w:w="2680"/>
            <w:shd w:fill="DCE6F1" w:val="clear"/>
            <w:tcMar>
              <w:top w:type="dxa" w:w="80"/>
              <w:left w:type="dxa" w:w="100"/>
              <w:bottom w:type="dxa" w:w="80"/>
              <w:right w:type="dxa" w:w="100"/>
            </w:tcMar>
          </w:tcPr>
          <w:p>
            <w:r>
              <w:rPr>
                <w:b w:val="false"/>
                <w:bCs w:val="false"/>
                <w:color w:val="000000"/>
                <w:sz w:val="18"/>
                <w:szCs w:val="18"/>
              </w:rPr>
              <w:t xml:space="preserve">Sheathing type and nailing unknown. Sheathing is being replaced in two rooms; see Atypical Condition A.</w:t>
            </w:r>
          </w:p>
        </w:tc>
      </w:tr>
      <w:tr>
        <w:trPr>
          <w:cantSplit/>
        </w:trPr>
        <w:tc>
          <w:tcPr>
            <w:tcW w:type="dxa" w:w="1500"/>
            <w:shd w:fill="FFFFFF" w:val="clear"/>
            <w:tcMar>
              <w:top w:type="dxa" w:w="80"/>
              <w:left w:type="dxa" w:w="100"/>
              <w:bottom w:type="dxa" w:w="80"/>
              <w:right w:type="dxa" w:w="100"/>
            </w:tcMar>
          </w:tcPr>
          <w:p>
            <w:r>
              <w:rPr>
                <w:b w:val="false"/>
                <w:bCs w:val="false"/>
                <w:color w:val="000000"/>
                <w:sz w:val="18"/>
                <w:szCs w:val="18"/>
              </w:rPr>
              <w:t xml:space="preserve">3. Into vertical element</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Floor diaphragm to exterior brick wall</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Joist or rim bearing in the wall, or ledger (unknown)</w:t>
            </w:r>
          </w:p>
        </w:tc>
        <w:tc>
          <w:tcPr>
            <w:tcW w:type="dxa" w:w="1300"/>
            <w:shd w:fill="FFFFFF" w:val="clear"/>
            <w:tcMar>
              <w:top w:type="dxa" w:w="80"/>
              <w:left w:type="dxa" w:w="100"/>
              <w:bottom w:type="dxa" w:w="80"/>
              <w:right w:type="dxa" w:w="100"/>
            </w:tcMar>
          </w:tcPr>
          <w:p>
            <w:r>
              <w:rPr>
                <w:b w:val="false"/>
                <w:bCs w:val="false"/>
                <w:color w:val="000000"/>
                <w:sz w:val="18"/>
                <w:szCs w:val="18"/>
              </w:rPr>
              <w:t xml:space="preserve">Not shown (existing)</w:t>
            </w:r>
          </w:p>
        </w:tc>
        <w:tc>
          <w:tcPr>
            <w:tcW w:type="dxa" w:w="2680"/>
            <w:shd w:fill="FFFFFF" w:val="clear"/>
            <w:tcMar>
              <w:top w:type="dxa" w:w="80"/>
              <w:left w:type="dxa" w:w="100"/>
              <w:bottom w:type="dxa" w:w="80"/>
              <w:right w:type="dxa" w:w="100"/>
            </w:tcMar>
          </w:tcPr>
          <w:p>
            <w:r>
              <w:rPr>
                <w:b w:val="false"/>
                <w:bCs w:val="false"/>
                <w:color w:val="000000"/>
                <w:sz w:val="18"/>
                <w:szCs w:val="18"/>
              </w:rPr>
              <w:t xml:space="preserve">No detail at the floor-to-wall interface.</w:t>
            </w:r>
          </w:p>
        </w:tc>
      </w:tr>
      <w:tr>
        <w:trPr>
          <w:cantSplit/>
        </w:trPr>
        <w:tc>
          <w:tcPr>
            <w:tcW w:type="dxa" w:w="1500"/>
            <w:shd w:fill="DCE6F1" w:val="clear"/>
            <w:tcMar>
              <w:top w:type="dxa" w:w="80"/>
              <w:left w:type="dxa" w:w="100"/>
              <w:bottom w:type="dxa" w:w="80"/>
              <w:right w:type="dxa" w:w="100"/>
            </w:tcMar>
          </w:tcPr>
          <w:p>
            <w:r>
              <w:rPr>
                <w:b w:val="false"/>
                <w:bCs w:val="false"/>
                <w:color w:val="000000"/>
                <w:sz w:val="18"/>
                <w:szCs w:val="18"/>
              </w:rPr>
              <w:t xml:space="preserve">4. Down the vertical element</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Exterior brick walls (hatched multi-wythe masonry on S1.0/S1.1)</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In-plane shear through the masonry (presumed unreinforced)</w:t>
            </w:r>
          </w:p>
        </w:tc>
        <w:tc>
          <w:tcPr>
            <w:tcW w:type="dxa" w:w="1300"/>
            <w:shd w:fill="DCE6F1" w:val="clear"/>
            <w:tcMar>
              <w:top w:type="dxa" w:w="80"/>
              <w:left w:type="dxa" w:w="100"/>
              <w:bottom w:type="dxa" w:w="80"/>
              <w:right w:type="dxa" w:w="100"/>
            </w:tcMar>
          </w:tcPr>
          <w:p>
            <w:r>
              <w:rPr>
                <w:b w:val="false"/>
                <w:bCs w:val="false"/>
                <w:color w:val="000000"/>
                <w:sz w:val="18"/>
                <w:szCs w:val="18"/>
              </w:rPr>
              <w:t xml:space="preserve">Not shown (existing)</w:t>
            </w:r>
          </w:p>
        </w:tc>
        <w:tc>
          <w:tcPr>
            <w:tcW w:type="dxa" w:w="2680"/>
            <w:shd w:fill="DCE6F1" w:val="clear"/>
            <w:tcMar>
              <w:top w:type="dxa" w:w="80"/>
              <w:left w:type="dxa" w:w="100"/>
              <w:bottom w:type="dxa" w:w="80"/>
              <w:right w:type="dxa" w:w="100"/>
            </w:tcMar>
          </w:tcPr>
          <w:p>
            <w:r>
              <w:rPr>
                <w:b w:val="false"/>
                <w:bCs w:val="false"/>
                <w:color w:val="000000"/>
                <w:sz w:val="18"/>
                <w:szCs w:val="18"/>
              </w:rPr>
              <w:t xml:space="preserve">Reinforcement, grout, and wythe ties unknown. Typical of an unreinforced masonry bearing-wall building of this type.</w:t>
            </w:r>
          </w:p>
        </w:tc>
      </w:tr>
      <w:tr>
        <w:trPr>
          <w:cantSplit/>
        </w:trPr>
        <w:tc>
          <w:tcPr>
            <w:tcW w:type="dxa" w:w="1500"/>
            <w:shd w:fill="FFFFFF" w:val="clear"/>
            <w:tcMar>
              <w:top w:type="dxa" w:w="80"/>
              <w:left w:type="dxa" w:w="100"/>
              <w:bottom w:type="dxa" w:w="80"/>
              <w:right w:type="dxa" w:w="100"/>
            </w:tcMar>
          </w:tcPr>
          <w:p>
            <w:r>
              <w:rPr>
                <w:b w:val="false"/>
                <w:bCs w:val="false"/>
                <w:color w:val="000000"/>
                <w:sz w:val="18"/>
                <w:szCs w:val="18"/>
              </w:rPr>
              <w:t xml:space="preserve">5. Overturning path</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Wall self-weight</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No hold-downs (masonry wall)</w:t>
            </w:r>
          </w:p>
        </w:tc>
        <w:tc>
          <w:tcPr>
            <w:tcW w:type="dxa" w:w="1300"/>
            <w:shd w:fill="FFFFFF" w:val="clear"/>
            <w:tcMar>
              <w:top w:type="dxa" w:w="80"/>
              <w:left w:type="dxa" w:w="100"/>
              <w:bottom w:type="dxa" w:w="80"/>
              <w:right w:type="dxa" w:w="100"/>
            </w:tcMar>
          </w:tcPr>
          <w:p>
            <w:r>
              <w:rPr>
                <w:b w:val="false"/>
                <w:bCs w:val="false"/>
                <w:color w:val="000000"/>
                <w:sz w:val="18"/>
                <w:szCs w:val="18"/>
              </w:rPr>
              <w:t xml:space="preserve">Not shown (existing)</w:t>
            </w:r>
          </w:p>
        </w:tc>
        <w:tc>
          <w:tcPr>
            <w:tcW w:type="dxa" w:w="2680"/>
            <w:shd w:fill="FFFFFF" w:val="clear"/>
            <w:tcMar>
              <w:top w:type="dxa" w:w="80"/>
              <w:left w:type="dxa" w:w="100"/>
              <w:bottom w:type="dxa" w:w="80"/>
              <w:right w:type="dxa" w:w="100"/>
            </w:tcMar>
          </w:tcPr>
          <w:p>
            <w:r>
              <w:rPr>
                <w:b w:val="false"/>
                <w:bCs w:val="false"/>
                <w:color w:val="000000"/>
                <w:sz w:val="18"/>
                <w:szCs w:val="18"/>
              </w:rPr>
              <w:t xml:space="preserve">Consistent with presumed URM; no further information.</w:t>
            </w:r>
          </w:p>
        </w:tc>
      </w:tr>
      <w:tr>
        <w:trPr>
          <w:cantSplit/>
        </w:trPr>
        <w:tc>
          <w:tcPr>
            <w:tcW w:type="dxa" w:w="1500"/>
            <w:shd w:fill="DCE6F1" w:val="clear"/>
            <w:tcMar>
              <w:top w:type="dxa" w:w="80"/>
              <w:left w:type="dxa" w:w="100"/>
              <w:bottom w:type="dxa" w:w="80"/>
              <w:right w:type="dxa" w:w="100"/>
            </w:tcMar>
          </w:tcPr>
          <w:p>
            <w:r>
              <w:rPr>
                <w:b w:val="false"/>
                <w:bCs w:val="false"/>
                <w:color w:val="000000"/>
                <w:sz w:val="18"/>
                <w:szCs w:val="18"/>
              </w:rPr>
              <w:t xml:space="preserve">6. Base anchorage</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Brick wall to its foundation</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Unknown</w:t>
            </w:r>
          </w:p>
        </w:tc>
        <w:tc>
          <w:tcPr>
            <w:tcW w:type="dxa" w:w="1300"/>
            <w:shd w:fill="DCE6F1" w:val="clear"/>
            <w:tcMar>
              <w:top w:type="dxa" w:w="80"/>
              <w:left w:type="dxa" w:w="100"/>
              <w:bottom w:type="dxa" w:w="80"/>
              <w:right w:type="dxa" w:w="100"/>
            </w:tcMar>
          </w:tcPr>
          <w:p>
            <w:r>
              <w:rPr>
                <w:b w:val="false"/>
                <w:bCs w:val="false"/>
                <w:color w:val="000000"/>
                <w:sz w:val="18"/>
                <w:szCs w:val="18"/>
              </w:rPr>
              <w:t xml:space="preserve">Not shown (existing)</w:t>
            </w:r>
          </w:p>
        </w:tc>
        <w:tc>
          <w:tcPr>
            <w:tcW w:type="dxa" w:w="2680"/>
            <w:shd w:fill="DCE6F1" w:val="clear"/>
            <w:tcMar>
              <w:top w:type="dxa" w:w="80"/>
              <w:left w:type="dxa" w:w="100"/>
              <w:bottom w:type="dxa" w:w="80"/>
              <w:right w:type="dxa" w:w="100"/>
            </w:tcMar>
          </w:tcPr>
          <w:p>
            <w:r>
              <w:rPr>
                <w:b w:val="false"/>
                <w:bCs w:val="false"/>
                <w:color w:val="000000"/>
                <w:sz w:val="18"/>
                <w:szCs w:val="18"/>
              </w:rPr>
              <w:t xml:space="preserve">No foundation wall or footing section for the exterior walls.</w:t>
            </w:r>
          </w:p>
        </w:tc>
      </w:tr>
      <w:tr>
        <w:trPr>
          <w:cantSplit/>
        </w:trPr>
        <w:tc>
          <w:tcPr>
            <w:tcW w:type="dxa" w:w="1500"/>
            <w:shd w:fill="FFFFFF" w:val="clear"/>
            <w:tcMar>
              <w:top w:type="dxa" w:w="80"/>
              <w:left w:type="dxa" w:w="100"/>
              <w:bottom w:type="dxa" w:w="80"/>
              <w:right w:type="dxa" w:w="100"/>
            </w:tcMar>
          </w:tcPr>
          <w:p>
            <w:r>
              <w:rPr>
                <w:b w:val="false"/>
                <w:bCs w:val="false"/>
                <w:color w:val="000000"/>
                <w:sz w:val="18"/>
                <w:szCs w:val="18"/>
              </w:rPr>
              <w:t xml:space="preserve">7. Foundation / soil</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Existing exterior wall footing</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Bearing, friction</w:t>
            </w:r>
          </w:p>
        </w:tc>
        <w:tc>
          <w:tcPr>
            <w:tcW w:type="dxa" w:w="1300"/>
            <w:shd w:fill="FFFFFF" w:val="clear"/>
            <w:tcMar>
              <w:top w:type="dxa" w:w="80"/>
              <w:left w:type="dxa" w:w="100"/>
              <w:bottom w:type="dxa" w:w="80"/>
              <w:right w:type="dxa" w:w="100"/>
            </w:tcMar>
          </w:tcPr>
          <w:p>
            <w:r>
              <w:rPr>
                <w:b w:val="false"/>
                <w:bCs w:val="false"/>
                <w:color w:val="000000"/>
                <w:sz w:val="18"/>
                <w:szCs w:val="18"/>
              </w:rPr>
              <w:t xml:space="preserve">Not shown (existing)</w:t>
            </w:r>
          </w:p>
        </w:tc>
        <w:tc>
          <w:tcPr>
            <w:tcW w:type="dxa" w:w="2680"/>
            <w:shd w:fill="FFFFFF" w:val="clear"/>
            <w:tcMar>
              <w:top w:type="dxa" w:w="80"/>
              <w:left w:type="dxa" w:w="100"/>
              <w:bottom w:type="dxa" w:w="80"/>
              <w:right w:type="dxa" w:w="100"/>
            </w:tcMar>
          </w:tcPr>
          <w:p>
            <w:r>
              <w:rPr>
                <w:b w:val="false"/>
                <w:bCs w:val="false"/>
                <w:color w:val="000000"/>
                <w:sz w:val="18"/>
                <w:szCs w:val="18"/>
              </w:rPr>
              <w:t xml:space="preserve">No footing information; soil value given only for new pier bases.</w:t>
            </w:r>
          </w:p>
        </w:tc>
      </w:tr>
    </w:tbl>
    <w:p>
      <w:pPr>
        <w:spacing w:after="0" w:before="200"/>
      </w:pPr>
    </w:p>
    <w:p>
      <w:pPr>
        <w:pStyle w:val="Heading2"/>
        <w:spacing w:after="120" w:before="240"/>
      </w:pPr>
      <w:r>
        <w:rPr>
          <w:b/>
          <w:bCs/>
          <w:color w:val="1F3864"/>
          <w:sz w:val="24"/>
          <w:szCs w:val="24"/>
        </w:rPr>
        <w:t xml:space="preserve">Atypical Conditions: Individually Traced</w:t>
      </w:r>
    </w:p>
    <w:p>
      <w:pPr>
        <w:spacing w:after="160"/>
      </w:pPr>
      <w:r>
        <w:rPr>
          <w:sz w:val="21"/>
          <w:szCs w:val="21"/>
        </w:rPr>
        <w:t xml:space="preserve">These conditions differ from the typical line, or are new work that touches the lateral path, and were traced individually.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300"/>
        <w:gridCol w:w="1000"/>
        <w:gridCol w:w="2880"/>
      </w:tblGrid>
      <w:tr>
        <w:trPr>
          <w:cantSplit/>
          <w:tblHeader/>
        </w:trPr>
        <w:tc>
          <w:tcPr>
            <w:tcW w:type="dxa" w:w="2200"/>
            <w:shd w:fill="1F3864" w:val="clear"/>
            <w:tcMar>
              <w:top w:type="dxa" w:w="80"/>
              <w:left w:type="dxa" w:w="100"/>
              <w:bottom w:type="dxa" w:w="80"/>
              <w:right w:type="dxa" w:w="100"/>
            </w:tcMar>
          </w:tcPr>
          <w:p>
            <w:r>
              <w:rPr>
                <w:b/>
                <w:bCs/>
                <w:color w:val="FFFFFF"/>
                <w:sz w:val="18"/>
                <w:szCs w:val="18"/>
              </w:rPr>
              <w:t xml:space="preserve">Condition / Location</w:t>
            </w:r>
          </w:p>
        </w:tc>
        <w:tc>
          <w:tcPr>
            <w:tcW w:type="dxa" w:w="1700"/>
            <w:shd w:fill="1F3864" w:val="clear"/>
            <w:tcMar>
              <w:top w:type="dxa" w:w="80"/>
              <w:left w:type="dxa" w:w="100"/>
              <w:bottom w:type="dxa" w:w="80"/>
              <w:right w:type="dxa" w:w="100"/>
            </w:tcMar>
          </w:tcPr>
          <w:p>
            <w:r>
              <w:rPr>
                <w:b/>
                <w:bCs/>
                <w:color w:val="FFFFFF"/>
                <w:sz w:val="18"/>
                <w:szCs w:val="18"/>
              </w:rPr>
              <w:t xml:space="preserve">Path</w:t>
            </w:r>
          </w:p>
        </w:tc>
        <w:tc>
          <w:tcPr>
            <w:tcW w:type="dxa" w:w="2300"/>
            <w:shd w:fill="1F3864" w:val="clear"/>
            <w:tcMar>
              <w:top w:type="dxa" w:w="80"/>
              <w:left w:type="dxa" w:w="100"/>
              <w:bottom w:type="dxa" w:w="80"/>
              <w:right w:type="dxa" w:w="100"/>
            </w:tcMar>
          </w:tcPr>
          <w:p>
            <w:r>
              <w:rPr>
                <w:b/>
                <w:bCs/>
                <w:color w:val="FFFFFF"/>
                <w:sz w:val="18"/>
                <w:szCs w:val="18"/>
              </w:rPr>
              <w:t xml:space="preserve">Mechanism / Required Basis</w:t>
            </w:r>
          </w:p>
        </w:tc>
        <w:tc>
          <w:tcPr>
            <w:tcW w:type="dxa" w:w="1000"/>
            <w:shd w:fill="1F3864" w:val="clear"/>
            <w:tcMar>
              <w:top w:type="dxa" w:w="80"/>
              <w:left w:type="dxa" w:w="100"/>
              <w:bottom w:type="dxa" w:w="80"/>
              <w:right w:type="dxa" w:w="100"/>
            </w:tcMar>
          </w:tcPr>
          <w:p>
            <w:r>
              <w:rPr>
                <w:b/>
                <w:bCs/>
                <w:color w:val="FFFFFF"/>
                <w:sz w:val="18"/>
                <w:szCs w:val="18"/>
              </w:rPr>
              <w:t xml:space="preserve">Verified?</w:t>
            </w:r>
          </w:p>
        </w:tc>
        <w:tc>
          <w:tcPr>
            <w:tcW w:type="dxa" w:w="2880"/>
            <w:shd w:fill="1F3864" w:val="clear"/>
            <w:tcMar>
              <w:top w:type="dxa" w:w="80"/>
              <w:left w:type="dxa" w:w="100"/>
              <w:bottom w:type="dxa" w:w="80"/>
              <w:right w:type="dxa" w:w="100"/>
            </w:tcMar>
          </w:tcPr>
          <w:p>
            <w:r>
              <w:rPr>
                <w:b/>
                <w:bCs/>
                <w:color w:val="FFFFFF"/>
                <w:sz w:val="18"/>
                <w:szCs w:val="18"/>
              </w:rPr>
              <w:t xml:space="preserve">Notes / Flags</w:t>
            </w:r>
          </w:p>
        </w:tc>
      </w:tr>
      <w:tr>
        <w:trPr>
          <w:cantSplit/>
        </w:trPr>
        <w:tc>
          <w:tcPr>
            <w:tcW w:type="dxa" w:w="2200"/>
            <w:shd w:fill="FFFFFF" w:val="clear"/>
            <w:tcMar>
              <w:top w:type="dxa" w:w="80"/>
              <w:left w:type="dxa" w:w="100"/>
              <w:bottom w:type="dxa" w:w="80"/>
              <w:right w:type="dxa" w:w="100"/>
            </w:tcMar>
          </w:tcPr>
          <w:p>
            <w:r>
              <w:rPr>
                <w:b w:val="false"/>
                <w:bCs w:val="false"/>
                <w:color w:val="000000"/>
                <w:sz w:val="18"/>
                <w:szCs w:val="18"/>
              </w:rPr>
              <w:t xml:space="preserve">A. Floor sheathing replacement — Nursing 101 and Classroom 102 (S1.1 plan notes; A1.1 keynote A1)</w:t>
            </w:r>
          </w:p>
        </w:tc>
        <w:tc>
          <w:tcPr>
            <w:tcW w:type="dxa" w:w="1700"/>
            <w:shd w:fill="FFFFFF" w:val="clear"/>
            <w:tcMar>
              <w:top w:type="dxa" w:w="80"/>
              <w:left w:type="dxa" w:w="100"/>
              <w:bottom w:type="dxa" w:w="80"/>
              <w:right w:type="dxa" w:w="100"/>
            </w:tcMar>
          </w:tcPr>
          <w:p>
            <w:r>
              <w:rPr>
                <w:b w:val="false"/>
                <w:bCs w:val="false"/>
                <w:color w:val="000000"/>
                <w:sz w:val="18"/>
                <w:szCs w:val="18"/>
              </w:rPr>
              <w:t xml:space="preserve">New sheathing panels in the floor diaphragm, adjacent to the exterior brick walls</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Panel edge and boundary nailing, blocking, and connection to the existing sheathing and the wall-side boundary</w:t>
            </w:r>
          </w:p>
        </w:tc>
        <w:tc>
          <w:tcPr>
            <w:tcW w:type="dxa" w:w="1000"/>
            <w:shd w:fill="FFFFFF" w:val="clear"/>
            <w:tcMar>
              <w:top w:type="dxa" w:w="80"/>
              <w:left w:type="dxa" w:w="100"/>
              <w:bottom w:type="dxa" w:w="80"/>
              <w:right w:type="dxa" w:w="100"/>
            </w:tcMar>
          </w:tcPr>
          <w:p>
            <w:r>
              <w:rPr>
                <w:b w:val="false"/>
                <w:bCs w:val="false"/>
                <w:color w:val="000000"/>
                <w:sz w:val="18"/>
                <w:szCs w:val="18"/>
              </w:rPr>
              <w:t xml:space="preserve">No</w:t>
            </w:r>
          </w:p>
        </w:tc>
        <w:tc>
          <w:tcPr>
            <w:tcW w:type="dxa" w:w="2880"/>
            <w:shd w:fill="FFFFFF" w:val="clear"/>
            <w:tcMar>
              <w:top w:type="dxa" w:w="80"/>
              <w:left w:type="dxa" w:w="100"/>
              <w:bottom w:type="dxa" w:w="80"/>
              <w:right w:type="dxa" w:w="100"/>
            </w:tcMar>
          </w:tcPr>
          <w:p>
            <w:r>
              <w:rPr>
                <w:b w:val="false"/>
                <w:bCs w:val="false"/>
                <w:color w:val="000000"/>
                <w:sz w:val="18"/>
                <w:szCs w:val="18"/>
              </w:rPr>
              <w:t xml:space="preserve">S1.1 says "remove and replace floor sheathing" and A1.1 keynote A1 says "see structural", but neither gives sheathing, nailing, or blocking. These areas are part of the diaphragm path into the exterior walls. See Finding 2.</w:t>
            </w:r>
          </w:p>
        </w:tc>
      </w:tr>
      <w:tr>
        <w:trPr>
          <w:cantSplit/>
        </w:trPr>
        <w:tc>
          <w:tcPr>
            <w:tcW w:type="dxa" w:w="2200"/>
            <w:shd w:fill="DCE6F1" w:val="clear"/>
            <w:tcMar>
              <w:top w:type="dxa" w:w="80"/>
              <w:left w:type="dxa" w:w="100"/>
              <w:bottom w:type="dxa" w:w="80"/>
              <w:right w:type="dxa" w:w="100"/>
            </w:tcMar>
          </w:tcPr>
          <w:p>
            <w:r>
              <w:rPr>
                <w:b w:val="false"/>
                <w:bCs w:val="false"/>
                <w:color w:val="000000"/>
                <w:sz w:val="18"/>
                <w:szCs w:val="18"/>
              </w:rPr>
              <w:t xml:space="preserve">B. New corridor beam line — 5¼"x11¼" LVL on new 16"x16" grouted CMU piers on 24"x24" concrete bases; ends on steel bent-plate brackets at the exterior brick walls</w:t>
            </w:r>
          </w:p>
        </w:tc>
        <w:tc>
          <w:tcPr>
            <w:tcW w:type="dxa" w:w="1700"/>
            <w:shd w:fill="DCE6F1" w:val="clear"/>
            <w:tcMar>
              <w:top w:type="dxa" w:w="80"/>
              <w:left w:type="dxa" w:w="100"/>
              <w:bottom w:type="dxa" w:w="80"/>
              <w:right w:type="dxa" w:w="100"/>
            </w:tcMar>
          </w:tcPr>
          <w:p>
            <w:r>
              <w:rPr>
                <w:b w:val="false"/>
                <w:bCs w:val="false"/>
                <w:color w:val="000000"/>
                <w:sz w:val="18"/>
                <w:szCs w:val="18"/>
              </w:rPr>
              <w:t xml:space="preserve">Beam supported by piers; ends tied to the wall through brackets</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Positive connection to supports for a horizontal force parallel to the member (5% of D+L reaction, ASCE 7-16/7-22 §12.1.4); lateral restraint at pier tops and bases</w:t>
            </w:r>
          </w:p>
        </w:tc>
        <w:tc>
          <w:tcPr>
            <w:tcW w:type="dxa" w:w="1000"/>
            <w:shd w:fill="DCE6F1" w:val="clear"/>
            <w:tcMar>
              <w:top w:type="dxa" w:w="80"/>
              <w:left w:type="dxa" w:w="100"/>
              <w:bottom w:type="dxa" w:w="80"/>
              <w:right w:type="dxa" w:w="100"/>
            </w:tcMar>
          </w:tcPr>
          <w:p>
            <w:r>
              <w:rPr>
                <w:b w:val="false"/>
                <w:bCs w:val="false"/>
                <w:color w:val="000000"/>
                <w:sz w:val="18"/>
                <w:szCs w:val="18"/>
              </w:rPr>
              <w:t xml:space="preserve">Partial</w:t>
            </w:r>
          </w:p>
        </w:tc>
        <w:tc>
          <w:tcPr>
            <w:tcW w:type="dxa" w:w="2880"/>
            <w:shd w:fill="DCE6F1" w:val="clear"/>
            <w:tcMar>
              <w:top w:type="dxa" w:w="80"/>
              <w:left w:type="dxa" w:w="100"/>
              <w:bottom w:type="dxa" w:w="80"/>
              <w:right w:type="dxa" w:w="100"/>
            </w:tcMar>
          </w:tcPr>
          <w:p>
            <w:r>
              <w:rPr>
                <w:b w:val="false"/>
                <w:bCs w:val="false"/>
                <w:color w:val="000000"/>
                <w:sz w:val="18"/>
                <w:szCs w:val="18"/>
              </w:rPr>
              <w:t xml:space="preserve">Piers: LVL is "placed tight to bottom of existing floor joists" and shimmed; no fastener between LVL and pier, and no dowel from pier to base. Ends: each bracket has (4) 3/4" epoxy bolts with 6" embed in existing brick and (4) 5/8" lag bolts into the LVL. This is a positive connection, but its design basis for horizontal force is not documented. See Findings 3 and 4.</w:t>
            </w:r>
          </w:p>
        </w:tc>
      </w:tr>
      <w:tr>
        <w:trPr>
          <w:cantSplit/>
        </w:trPr>
        <w:tc>
          <w:tcPr>
            <w:tcW w:type="dxa" w:w="2200"/>
            <w:shd w:fill="FFFFFF" w:val="clear"/>
            <w:tcMar>
              <w:top w:type="dxa" w:w="80"/>
              <w:left w:type="dxa" w:w="100"/>
              <w:bottom w:type="dxa" w:w="80"/>
              <w:right w:type="dxa" w:w="100"/>
            </w:tcMar>
          </w:tcPr>
          <w:p>
            <w:r>
              <w:rPr>
                <w:b w:val="false"/>
                <w:bCs w:val="false"/>
                <w:color w:val="000000"/>
                <w:sz w:val="18"/>
                <w:szCs w:val="18"/>
              </w:rPr>
              <w:t xml:space="preserve">C. New 16"x16" CMU piers (grout solid)</w:t>
            </w:r>
          </w:p>
        </w:tc>
        <w:tc>
          <w:tcPr>
            <w:tcW w:type="dxa" w:w="1700"/>
            <w:shd w:fill="FFFFFF" w:val="clear"/>
            <w:tcMar>
              <w:top w:type="dxa" w:w="80"/>
              <w:left w:type="dxa" w:w="100"/>
              <w:bottom w:type="dxa" w:w="80"/>
              <w:right w:type="dxa" w:w="100"/>
            </w:tcMar>
          </w:tcPr>
          <w:p>
            <w:r>
              <w:rPr>
                <w:b w:val="false"/>
                <w:bCs w:val="false"/>
                <w:color w:val="000000"/>
                <w:sz w:val="18"/>
                <w:szCs w:val="18"/>
              </w:rPr>
              <w:t xml:space="preserve">Isolated masonry pier between beam and base</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Masonry column detailing for the SDC</w:t>
            </w:r>
          </w:p>
        </w:tc>
        <w:tc>
          <w:tcPr>
            <w:tcW w:type="dxa" w:w="1000"/>
            <w:shd w:fill="FFFFFF" w:val="clear"/>
            <w:tcMar>
              <w:top w:type="dxa" w:w="80"/>
              <w:left w:type="dxa" w:w="100"/>
              <w:bottom w:type="dxa" w:w="80"/>
              <w:right w:type="dxa" w:w="100"/>
            </w:tcMar>
          </w:tcPr>
          <w:p>
            <w:r>
              <w:rPr>
                <w:b w:val="false"/>
                <w:bCs w:val="false"/>
                <w:color w:val="000000"/>
                <w:sz w:val="18"/>
                <w:szCs w:val="18"/>
              </w:rPr>
              <w:t xml:space="preserve">Verify</w:t>
            </w:r>
          </w:p>
        </w:tc>
        <w:tc>
          <w:tcPr>
            <w:tcW w:type="dxa" w:w="2880"/>
            <w:shd w:fill="FFFFFF" w:val="clear"/>
            <w:tcMar>
              <w:top w:type="dxa" w:w="80"/>
              <w:left w:type="dxa" w:w="100"/>
              <w:bottom w:type="dxa" w:w="80"/>
              <w:right w:type="dxa" w:w="100"/>
            </w:tcMar>
          </w:tcPr>
          <w:p>
            <w:r>
              <w:rPr>
                <w:b w:val="false"/>
                <w:bCs w:val="false"/>
                <w:color w:val="000000"/>
                <w:sz w:val="18"/>
                <w:szCs w:val="18"/>
              </w:rPr>
              <w:t xml:space="preserve">No longitudinal reinforcement, ties, or dowels shown. If SDC D applies (per T1.1 Note 6), confirm the TMS 402 requirements for masonry columns (verify: TMS 402). See Finding 4.</w:t>
            </w:r>
          </w:p>
        </w:tc>
      </w:tr>
      <w:tr>
        <w:trPr>
          <w:cantSplit/>
        </w:trPr>
        <w:tc>
          <w:tcPr>
            <w:tcW w:type="dxa" w:w="2200"/>
            <w:shd w:fill="DCE6F1" w:val="clear"/>
            <w:tcMar>
              <w:top w:type="dxa" w:w="80"/>
              <w:left w:type="dxa" w:w="100"/>
              <w:bottom w:type="dxa" w:w="80"/>
              <w:right w:type="dxa" w:w="100"/>
            </w:tcMar>
          </w:tcPr>
          <w:p>
            <w:r>
              <w:rPr>
                <w:b w:val="false"/>
                <w:bCs w:val="false"/>
                <w:color w:val="000000"/>
                <w:sz w:val="18"/>
                <w:szCs w:val="18"/>
              </w:rPr>
              <w:t xml:space="preserve">D. Sistered existing dropped beams on retained piers (most bays)</w:t>
            </w:r>
          </w:p>
        </w:tc>
        <w:tc>
          <w:tcPr>
            <w:tcW w:type="dxa" w:w="1700"/>
            <w:shd w:fill="DCE6F1" w:val="clear"/>
            <w:tcMar>
              <w:top w:type="dxa" w:w="80"/>
              <w:left w:type="dxa" w:w="100"/>
              <w:bottom w:type="dxa" w:w="80"/>
              <w:right w:type="dxa" w:w="100"/>
            </w:tcMar>
          </w:tcPr>
          <w:p>
            <w:r>
              <w:rPr>
                <w:b w:val="false"/>
                <w:bCs w:val="false"/>
                <w:color w:val="000000"/>
                <w:sz w:val="18"/>
                <w:szCs w:val="18"/>
              </w:rPr>
              <w:t xml:space="preserve">Gravity reinforcement only</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No change to the lateral path</w:t>
            </w:r>
          </w:p>
        </w:tc>
        <w:tc>
          <w:tcPr>
            <w:tcW w:type="dxa" w:w="1000"/>
            <w:shd w:fill="DCE6F1" w:val="clear"/>
            <w:tcMar>
              <w:top w:type="dxa" w:w="80"/>
              <w:left w:type="dxa" w:w="100"/>
              <w:bottom w:type="dxa" w:w="80"/>
              <w:right w:type="dxa" w:w="100"/>
            </w:tcMar>
          </w:tcPr>
          <w:p>
            <w:r>
              <w:rPr>
                <w:b w:val="false"/>
                <w:bCs w:val="false"/>
                <w:color w:val="000000"/>
                <w:sz w:val="18"/>
                <w:szCs w:val="18"/>
              </w:rPr>
              <w:t xml:space="preserve">Matches typical</w:t>
            </w:r>
          </w:p>
        </w:tc>
        <w:tc>
          <w:tcPr>
            <w:tcW w:type="dxa" w:w="2880"/>
            <w:shd w:fill="DCE6F1" w:val="clear"/>
            <w:tcMar>
              <w:top w:type="dxa" w:w="80"/>
              <w:left w:type="dxa" w:w="100"/>
              <w:bottom w:type="dxa" w:w="80"/>
              <w:right w:type="dxa" w:w="100"/>
            </w:tcMar>
          </w:tcPr>
          <w:p>
            <w:r>
              <w:rPr>
                <w:b w:val="false"/>
                <w:bCs w:val="false"/>
                <w:color w:val="000000"/>
                <w:sz w:val="18"/>
                <w:szCs w:val="18"/>
              </w:rPr>
              <w:t xml:space="preserve">The LVL sistering ((3) 10d or #12 screws at 12") doesn't create or remove a lateral link. The existing beam-to-pier connections stay as they are.</w:t>
            </w:r>
          </w:p>
        </w:tc>
      </w:tr>
      <w:tr>
        <w:trPr>
          <w:cantSplit/>
        </w:trPr>
        <w:tc>
          <w:tcPr>
            <w:tcW w:type="dxa" w:w="2200"/>
            <w:shd w:fill="FFFFFF" w:val="clear"/>
            <w:tcMar>
              <w:top w:type="dxa" w:w="80"/>
              <w:left w:type="dxa" w:w="100"/>
              <w:bottom w:type="dxa" w:w="80"/>
              <w:right w:type="dxa" w:w="100"/>
            </w:tcMar>
          </w:tcPr>
          <w:p>
            <w:r>
              <w:rPr>
                <w:b w:val="false"/>
                <w:bCs w:val="false"/>
                <w:color w:val="000000"/>
                <w:sz w:val="18"/>
                <w:szCs w:val="18"/>
              </w:rPr>
              <w:t xml:space="preserve">E. Split-level building (T1.1 Code Note 3); multipurpose wing at a different level</w:t>
            </w:r>
          </w:p>
        </w:tc>
        <w:tc>
          <w:tcPr>
            <w:tcW w:type="dxa" w:w="1700"/>
            <w:shd w:fill="FFFFFF" w:val="clear"/>
            <w:tcMar>
              <w:top w:type="dxa" w:w="80"/>
              <w:left w:type="dxa" w:w="100"/>
              <w:bottom w:type="dxa" w:w="80"/>
              <w:right w:type="dxa" w:w="100"/>
            </w:tcMar>
          </w:tcPr>
          <w:p>
            <w:r>
              <w:rPr>
                <w:b w:val="false"/>
                <w:bCs w:val="false"/>
                <w:color w:val="000000"/>
                <w:sz w:val="18"/>
                <w:szCs w:val="18"/>
              </w:rPr>
              <w:t xml:space="preserve">Stepped diaphragm between levels</w:t>
            </w:r>
          </w:p>
        </w:tc>
        <w:tc>
          <w:tcPr>
            <w:tcW w:type="dxa" w:w="2300"/>
            <w:shd w:fill="FFFFFF" w:val="clear"/>
            <w:tcMar>
              <w:top w:type="dxa" w:w="80"/>
              <w:left w:type="dxa" w:w="100"/>
              <w:bottom w:type="dxa" w:w="80"/>
              <w:right w:type="dxa" w:w="100"/>
            </w:tcMar>
          </w:tcPr>
          <w:p>
            <w:r>
              <w:rPr>
                <w:b w:val="false"/>
                <w:bCs w:val="false"/>
                <w:color w:val="000000"/>
                <w:sz w:val="18"/>
                <w:szCs w:val="18"/>
              </w:rPr>
              <w:t xml:space="preserve">A designed element transferring diaphragm force between levels</w:t>
            </w:r>
          </w:p>
        </w:tc>
        <w:tc>
          <w:tcPr>
            <w:tcW w:type="dxa" w:w="1000"/>
            <w:shd w:fill="FFFFFF" w:val="clear"/>
            <w:tcMar>
              <w:top w:type="dxa" w:w="80"/>
              <w:left w:type="dxa" w:w="100"/>
              <w:bottom w:type="dxa" w:w="80"/>
              <w:right w:type="dxa" w:w="100"/>
            </w:tcMar>
          </w:tcPr>
          <w:p>
            <w:r>
              <w:rPr>
                <w:b w:val="false"/>
                <w:bCs w:val="false"/>
                <w:color w:val="000000"/>
                <w:sz w:val="18"/>
                <w:szCs w:val="18"/>
              </w:rPr>
              <w:t xml:space="preserve">Not shown (existing)</w:t>
            </w:r>
          </w:p>
        </w:tc>
        <w:tc>
          <w:tcPr>
            <w:tcW w:type="dxa" w:w="2880"/>
            <w:shd w:fill="FFFFFF" w:val="clear"/>
            <w:tcMar>
              <w:top w:type="dxa" w:w="80"/>
              <w:left w:type="dxa" w:w="100"/>
              <w:bottom w:type="dxa" w:w="80"/>
              <w:right w:type="dxa" w:w="100"/>
            </w:tcMar>
          </w:tcPr>
          <w:p>
            <w:r>
              <w:rPr>
                <w:b w:val="false"/>
                <w:bCs w:val="false"/>
                <w:color w:val="000000"/>
                <w:sz w:val="18"/>
                <w:szCs w:val="18"/>
              </w:rPr>
              <w:t xml:space="preserve">The split level isn't in the structural scope. It's recorded because a stepped diaphragm is an atypical lateral condition (see the skill's diaphragms reference).</w:t>
            </w:r>
          </w:p>
        </w:tc>
      </w:tr>
      <w:tr>
        <w:trPr>
          <w:cantSplit/>
        </w:trPr>
        <w:tc>
          <w:tcPr>
            <w:tcW w:type="dxa" w:w="2200"/>
            <w:shd w:fill="DCE6F1" w:val="clear"/>
            <w:tcMar>
              <w:top w:type="dxa" w:w="80"/>
              <w:left w:type="dxa" w:w="100"/>
              <w:bottom w:type="dxa" w:w="80"/>
              <w:right w:type="dxa" w:w="100"/>
            </w:tcMar>
          </w:tcPr>
          <w:p>
            <w:r>
              <w:rPr>
                <w:b w:val="false"/>
                <w:bCs w:val="false"/>
                <w:color w:val="000000"/>
                <w:sz w:val="18"/>
                <w:szCs w:val="18"/>
              </w:rPr>
              <w:t xml:space="preserve">F. Nonstructural: suspended ceilings (SDC D per T1.1 Note 6), braced partitions (A1.2), replacement vertical platform lift (A1.1 keynote A2)</w:t>
            </w:r>
          </w:p>
        </w:tc>
        <w:tc>
          <w:tcPr>
            <w:tcW w:type="dxa" w:w="1700"/>
            <w:shd w:fill="DCE6F1" w:val="clear"/>
            <w:tcMar>
              <w:top w:type="dxa" w:w="80"/>
              <w:left w:type="dxa" w:w="100"/>
              <w:bottom w:type="dxa" w:w="80"/>
              <w:right w:type="dxa" w:w="100"/>
            </w:tcMar>
          </w:tcPr>
          <w:p>
            <w:r>
              <w:rPr>
                <w:b w:val="false"/>
                <w:bCs w:val="false"/>
                <w:color w:val="000000"/>
                <w:sz w:val="18"/>
                <w:szCs w:val="18"/>
              </w:rPr>
              <w:t xml:space="preserve">Components anchored to the structure</w:t>
            </w:r>
          </w:p>
        </w:tc>
        <w:tc>
          <w:tcPr>
            <w:tcW w:type="dxa" w:w="2300"/>
            <w:shd w:fill="DCE6F1" w:val="clear"/>
            <w:tcMar>
              <w:top w:type="dxa" w:w="80"/>
              <w:left w:type="dxa" w:w="100"/>
              <w:bottom w:type="dxa" w:w="80"/>
              <w:right w:type="dxa" w:w="100"/>
            </w:tcMar>
          </w:tcPr>
          <w:p>
            <w:r>
              <w:rPr>
                <w:b w:val="false"/>
                <w:bCs w:val="false"/>
                <w:color w:val="000000"/>
                <w:sz w:val="18"/>
                <w:szCs w:val="18"/>
              </w:rPr>
              <w:t xml:space="preserve">Component anchorage and bracing for F_p</w:t>
            </w:r>
          </w:p>
        </w:tc>
        <w:tc>
          <w:tcPr>
            <w:tcW w:type="dxa" w:w="1000"/>
            <w:shd w:fill="DCE6F1" w:val="clear"/>
            <w:tcMar>
              <w:top w:type="dxa" w:w="80"/>
              <w:left w:type="dxa" w:w="100"/>
              <w:bottom w:type="dxa" w:w="80"/>
              <w:right w:type="dxa" w:w="100"/>
            </w:tcMar>
          </w:tcPr>
          <w:p>
            <w:r>
              <w:rPr>
                <w:b w:val="false"/>
                <w:bCs w:val="false"/>
                <w:color w:val="000000"/>
                <w:sz w:val="18"/>
                <w:szCs w:val="18"/>
              </w:rPr>
              <w:t xml:space="preserve">Partial</w:t>
            </w:r>
          </w:p>
        </w:tc>
        <w:tc>
          <w:tcPr>
            <w:tcW w:type="dxa" w:w="2880"/>
            <w:shd w:fill="DCE6F1" w:val="clear"/>
            <w:tcMar>
              <w:top w:type="dxa" w:w="80"/>
              <w:left w:type="dxa" w:w="100"/>
              <w:bottom w:type="dxa" w:w="80"/>
              <w:right w:type="dxa" w:w="100"/>
            </w:tcMar>
          </w:tcPr>
          <w:p>
            <w:r>
              <w:rPr>
                <w:b w:val="false"/>
                <w:bCs w:val="false"/>
                <w:color w:val="000000"/>
                <w:sz w:val="18"/>
                <w:szCs w:val="18"/>
              </w:rPr>
              <w:t xml:space="preserve">A1.2 includes ASTM E580 ceiling guidance for SDC D-F. The partition "brace to structure above" detail has no fastener. Lift anchorage is by the manufacturer ("reuse existing infrastructure"). See Finding 5.</w:t>
            </w:r>
          </w:p>
        </w:tc>
      </w:tr>
    </w:tbl>
    <w:p>
      <w:pPr>
        <w:pStyle w:val="Heading1"/>
        <w:pBdr>
          <w:bottom w:val="single" w:color="1F3864" w:sz="6" w:space="4"/>
        </w:pBdr>
        <w:spacing w:after="160" w:before="360"/>
      </w:pPr>
      <w:r>
        <w:rPr>
          <w:b/>
          <w:bCs/>
          <w:color w:val="1F3864"/>
          <w:sz w:val="28"/>
          <w:szCs w:val="28"/>
        </w:rPr>
        <w:t xml:space="preserve">Findings</w:t>
      </w:r>
    </w:p>
    <w:p>
      <w:pPr>
        <w:spacing w:after="160"/>
      </w:pPr>
      <w:r>
        <w:rPr>
          <w:sz w:val="21"/>
          <w:szCs w:val="21"/>
        </w:rPr>
        <w:t xml:space="preserve">Ranked by effect on the lateral load path. "Verify" items are confirmation requests against the governing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500"/>
        <w:gridCol w:w="2900"/>
        <w:gridCol w:w="1700"/>
        <w:gridCol w:w="2080"/>
      </w:tblGrid>
      <w:tr>
        <w:trPr>
          <w:cantSplit/>
          <w:tblHeader/>
        </w:trPr>
        <w:tc>
          <w:tcPr>
            <w:tcW w:type="dxa" w:w="500"/>
            <w:shd w:fill="1F3864" w:val="clear"/>
            <w:tcMar>
              <w:top w:type="dxa" w:w="80"/>
              <w:left w:type="dxa" w:w="100"/>
              <w:bottom w:type="dxa" w:w="80"/>
              <w:right w:type="dxa" w:w="100"/>
            </w:tcMar>
          </w:tcPr>
          <w:p>
            <w:r>
              <w:rPr>
                <w:b/>
                <w:bCs/>
                <w:color w:val="FFFFFF"/>
                <w:sz w:val="18"/>
                <w:szCs w:val="18"/>
              </w:rPr>
              <w:t xml:space="preserve">No.</w:t>
            </w:r>
          </w:p>
        </w:tc>
        <w:tc>
          <w:tcPr>
            <w:tcW w:type="dxa" w:w="1400"/>
            <w:shd w:fill="1F3864" w:val="clear"/>
            <w:tcMar>
              <w:top w:type="dxa" w:w="80"/>
              <w:left w:type="dxa" w:w="100"/>
              <w:bottom w:type="dxa" w:w="80"/>
              <w:right w:type="dxa" w:w="100"/>
            </w:tcMar>
          </w:tcPr>
          <w:p>
            <w:r>
              <w:rPr>
                <w:b/>
                <w:bCs/>
                <w:color w:val="FFFFFF"/>
                <w:sz w:val="18"/>
                <w:szCs w:val="18"/>
              </w:rPr>
              <w:t xml:space="preserve">Type</w:t>
            </w:r>
          </w:p>
        </w:tc>
        <w:tc>
          <w:tcPr>
            <w:tcW w:type="dxa" w:w="1500"/>
            <w:shd w:fill="1F3864" w:val="clear"/>
            <w:tcMar>
              <w:top w:type="dxa" w:w="80"/>
              <w:left w:type="dxa" w:w="100"/>
              <w:bottom w:type="dxa" w:w="80"/>
              <w:right w:type="dxa" w:w="100"/>
            </w:tcMar>
          </w:tcPr>
          <w:p>
            <w:r>
              <w:rPr>
                <w:b/>
                <w:bCs/>
                <w:color w:val="FFFFFF"/>
                <w:sz w:val="18"/>
                <w:szCs w:val="18"/>
              </w:rPr>
              <w:t xml:space="preserve">Location / Sheet</w:t>
            </w:r>
          </w:p>
        </w:tc>
        <w:tc>
          <w:tcPr>
            <w:tcW w:type="dxa" w:w="2900"/>
            <w:shd w:fill="1F3864" w:val="clear"/>
            <w:tcMar>
              <w:top w:type="dxa" w:w="80"/>
              <w:left w:type="dxa" w:w="100"/>
              <w:bottom w:type="dxa" w:w="80"/>
              <w:right w:type="dxa" w:w="100"/>
            </w:tcMar>
          </w:tcPr>
          <w:p>
            <w:r>
              <w:rPr>
                <w:b/>
                <w:bCs/>
                <w:color w:val="FFFFFF"/>
                <w:sz w:val="18"/>
                <w:szCs w:val="18"/>
              </w:rPr>
              <w:t xml:space="preserve">Finding</w:t>
            </w:r>
          </w:p>
        </w:tc>
        <w:tc>
          <w:tcPr>
            <w:tcW w:type="dxa" w:w="1700"/>
            <w:shd w:fill="1F3864" w:val="clear"/>
            <w:tcMar>
              <w:top w:type="dxa" w:w="80"/>
              <w:left w:type="dxa" w:w="100"/>
              <w:bottom w:type="dxa" w:w="80"/>
              <w:right w:type="dxa" w:w="100"/>
            </w:tcMar>
          </w:tcPr>
          <w:p>
            <w:r>
              <w:rPr>
                <w:b/>
                <w:bCs/>
                <w:color w:val="FFFFFF"/>
                <w:sz w:val="18"/>
                <w:szCs w:val="18"/>
              </w:rPr>
              <w:t xml:space="preserve">Code Reference</w:t>
            </w:r>
          </w:p>
        </w:tc>
        <w:tc>
          <w:tcPr>
            <w:tcW w:type="dxa" w:w="2080"/>
            <w:shd w:fill="1F3864" w:val="clear"/>
            <w:tcMar>
              <w:top w:type="dxa" w:w="80"/>
              <w:left w:type="dxa" w:w="100"/>
              <w:bottom w:type="dxa" w:w="80"/>
              <w:right w:type="dxa" w:w="100"/>
            </w:tcMar>
          </w:tcPr>
          <w:p>
            <w:r>
              <w:rPr>
                <w:b/>
                <w:bCs/>
                <w:color w:val="FFFFFF"/>
                <w:sz w:val="18"/>
                <w:szCs w:val="18"/>
              </w:rPr>
              <w:t xml:space="preserve">Recommended Action</w:t>
            </w:r>
          </w:p>
        </w:tc>
      </w:tr>
      <w:tr>
        <w:trPr>
          <w:cantSplit/>
        </w:trPr>
        <w:tc>
          <w:tcPr>
            <w:tcW w:type="dxa" w:w="500"/>
            <w:shd w:fill="FFFFFF" w:val="clear"/>
            <w:tcMar>
              <w:top w:type="dxa" w:w="80"/>
              <w:left w:type="dxa" w:w="100"/>
              <w:bottom w:type="dxa" w:w="80"/>
              <w:right w:type="dxa" w:w="100"/>
            </w:tcMar>
          </w:tcPr>
          <w:p>
            <w:r>
              <w:rPr>
                <w:b w:val="false"/>
                <w:bCs w:val="false"/>
                <w:color w:val="000000"/>
                <w:sz w:val="18"/>
                <w:szCs w:val="18"/>
              </w:rPr>
              <w:t xml:space="preserve">1</w:t>
            </w:r>
          </w:p>
        </w:tc>
        <w:tc>
          <w:tcPr>
            <w:tcW w:type="dxa" w:w="1400"/>
            <w:shd w:fill="FFFFFF" w:val="clear"/>
            <w:tcMar>
              <w:top w:type="dxa" w:w="80"/>
              <w:left w:type="dxa" w:w="100"/>
              <w:bottom w:type="dxa" w:w="80"/>
              <w:right w:type="dxa" w:w="100"/>
            </w:tcMar>
          </w:tcPr>
          <w:p>
            <w:r>
              <w:rPr>
                <w:b w:val="false"/>
                <w:bCs w:val="false"/>
                <w:color w:val="000000"/>
                <w:sz w:val="18"/>
                <w:szCs w:val="18"/>
              </w:rPr>
              <w:t xml:space="preserve">Design-basis inconsistency</w:t>
            </w:r>
          </w:p>
        </w:tc>
        <w:tc>
          <w:tcPr>
            <w:tcW w:type="dxa" w:w="1500"/>
            <w:shd w:fill="FFFFFF" w:val="clear"/>
            <w:tcMar>
              <w:top w:type="dxa" w:w="80"/>
              <w:left w:type="dxa" w:w="100"/>
              <w:bottom w:type="dxa" w:w="80"/>
              <w:right w:type="dxa" w:w="100"/>
            </w:tcMar>
          </w:tcPr>
          <w:p>
            <w:r>
              <w:rPr>
                <w:b w:val="false"/>
                <w:bCs w:val="false"/>
                <w:color w:val="000000"/>
                <w:sz w:val="18"/>
                <w:szCs w:val="18"/>
              </w:rPr>
              <w:t xml:space="preserve">S1.0 General Note 1.C; T1.1 General Note 6</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The structural notes give no seismic basis (no RC, site class, S_DS/S_D1, or SDC) and state the existing structure is not brought up to current code, but don't state the existing-building compliance path. The architectural notes require ceilings to be installed for SDC D.</w:t>
            </w:r>
          </w:p>
        </w:tc>
        <w:tc>
          <w:tcPr>
            <w:tcW w:type="dxa" w:w="1700"/>
            <w:shd w:fill="FFFFFF" w:val="clear"/>
            <w:tcMar>
              <w:top w:type="dxa" w:w="80"/>
              <w:left w:type="dxa" w:w="100"/>
              <w:bottom w:type="dxa" w:w="80"/>
              <w:right w:type="dxa" w:w="100"/>
            </w:tcMar>
          </w:tcPr>
          <w:p>
            <w:r>
              <w:rPr>
                <w:b w:val="false"/>
                <w:bCs w:val="false"/>
                <w:color w:val="000000"/>
                <w:sz w:val="18"/>
                <w:szCs w:val="18"/>
              </w:rPr>
              <w:t xml:space="preserve">IBC 2021 §1603.1.5 (verify: IBC); IEBC 2021 alteration provisions (verify: IEBC)</w:t>
            </w:r>
          </w:p>
        </w:tc>
        <w:tc>
          <w:tcPr>
            <w:tcW w:type="dxa" w:w="2080"/>
            <w:shd w:fill="FFFFFF" w:val="clear"/>
            <w:tcMar>
              <w:top w:type="dxa" w:w="80"/>
              <w:left w:type="dxa" w:w="100"/>
              <w:bottom w:type="dxa" w:w="80"/>
              <w:right w:type="dxa" w:w="100"/>
            </w:tcMar>
          </w:tcPr>
          <w:p>
            <w:r>
              <w:rPr>
                <w:b w:val="false"/>
                <w:bCs w:val="false"/>
                <w:color w:val="000000"/>
                <w:sz w:val="18"/>
                <w:szCs w:val="18"/>
              </w:rPr>
              <w:t xml:space="preserve">Add the seismic design parameters and SDC to the structural general notes so the nonstructural requirements have a stated basis. State the IEBC compliance method, and confirm the alterations do not reduce the lateral capacity of the existing structure.</w:t>
            </w:r>
          </w:p>
        </w:tc>
      </w:tr>
      <w:tr>
        <w:trPr>
          <w:cantSplit/>
        </w:trPr>
        <w:tc>
          <w:tcPr>
            <w:tcW w:type="dxa" w:w="500"/>
            <w:shd w:fill="DCE6F1" w:val="clear"/>
            <w:tcMar>
              <w:top w:type="dxa" w:w="80"/>
              <w:left w:type="dxa" w:w="100"/>
              <w:bottom w:type="dxa" w:w="80"/>
              <w:right w:type="dxa" w:w="100"/>
            </w:tcMar>
          </w:tcPr>
          <w:p>
            <w:r>
              <w:rPr>
                <w:b w:val="false"/>
                <w:bCs w:val="false"/>
                <w:color w:val="000000"/>
                <w:sz w:val="18"/>
                <w:szCs w:val="18"/>
              </w:rPr>
              <w:t xml:space="preserve">2</w:t>
            </w:r>
          </w:p>
        </w:tc>
        <w:tc>
          <w:tcPr>
            <w:tcW w:type="dxa" w:w="1400"/>
            <w:shd w:fill="DCE6F1" w:val="clear"/>
            <w:tcMar>
              <w:top w:type="dxa" w:w="80"/>
              <w:left w:type="dxa" w:w="100"/>
              <w:bottom w:type="dxa" w:w="80"/>
              <w:right w:type="dxa" w:w="100"/>
            </w:tcMar>
          </w:tcPr>
          <w:p>
            <w:r>
              <w:rPr>
                <w:b w:val="false"/>
                <w:bCs w:val="false"/>
                <w:color w:val="000000"/>
                <w:sz w:val="18"/>
                <w:szCs w:val="18"/>
              </w:rPr>
              <w:t xml:space="preserve">Broken / unconfirmed path</w:t>
            </w:r>
          </w:p>
        </w:tc>
        <w:tc>
          <w:tcPr>
            <w:tcW w:type="dxa" w:w="1500"/>
            <w:shd w:fill="DCE6F1" w:val="clear"/>
            <w:tcMar>
              <w:top w:type="dxa" w:w="80"/>
              <w:left w:type="dxa" w:w="100"/>
              <w:bottom w:type="dxa" w:w="80"/>
              <w:right w:type="dxa" w:w="100"/>
            </w:tcMar>
          </w:tcPr>
          <w:p>
            <w:r>
              <w:rPr>
                <w:b w:val="false"/>
                <w:bCs w:val="false"/>
                <w:color w:val="000000"/>
                <w:sz w:val="18"/>
                <w:szCs w:val="18"/>
              </w:rPr>
              <w:t xml:space="preserve">S1.1 — Nursing 101, Classroom 102; A1.1 keynote A1</w:t>
            </w:r>
          </w:p>
        </w:tc>
        <w:tc>
          <w:tcPr>
            <w:tcW w:type="dxa" w:w="2900"/>
            <w:shd w:fill="DCE6F1" w:val="clear"/>
            <w:tcMar>
              <w:top w:type="dxa" w:w="80"/>
              <w:left w:type="dxa" w:w="100"/>
              <w:bottom w:type="dxa" w:w="80"/>
              <w:right w:type="dxa" w:w="100"/>
            </w:tcMar>
          </w:tcPr>
          <w:p>
            <w:r>
              <w:rPr>
                <w:b w:val="false"/>
                <w:bCs w:val="false"/>
                <w:color w:val="000000"/>
                <w:sz w:val="18"/>
                <w:szCs w:val="18"/>
              </w:rPr>
              <w:t xml:space="preserve">Floor sheathing is removed and replaced in two rooms that adjoin the exterior walls, but no sheathing thickness, grade, panel layout, edge/boundary/field nailing, or blocking is given. The new panels must restore the floor diaphragm's continuity into the walls. Each document defers to the other.</w:t>
            </w:r>
          </w:p>
        </w:tc>
        <w:tc>
          <w:tcPr>
            <w:tcW w:type="dxa" w:w="1700"/>
            <w:shd w:fill="DCE6F1" w:val="clear"/>
            <w:tcMar>
              <w:top w:type="dxa" w:w="80"/>
              <w:left w:type="dxa" w:w="100"/>
              <w:bottom w:type="dxa" w:w="80"/>
              <w:right w:type="dxa" w:w="100"/>
            </w:tcMar>
          </w:tcPr>
          <w:p>
            <w:r>
              <w:rPr>
                <w:b w:val="false"/>
                <w:bCs w:val="false"/>
                <w:color w:val="000000"/>
                <w:sz w:val="18"/>
                <w:szCs w:val="18"/>
              </w:rPr>
              <w:t xml:space="preserve">Load path continuity, ASCE 7-16 §12.1.3; SDPWS diaphragm construction (verify: SDPWS)</w:t>
            </w:r>
          </w:p>
        </w:tc>
        <w:tc>
          <w:tcPr>
            <w:tcW w:type="dxa" w:w="2080"/>
            <w:shd w:fill="DCE6F1" w:val="clear"/>
            <w:tcMar>
              <w:top w:type="dxa" w:w="80"/>
              <w:left w:type="dxa" w:w="100"/>
              <w:bottom w:type="dxa" w:w="80"/>
              <w:right w:type="dxa" w:w="100"/>
            </w:tcMar>
          </w:tcPr>
          <w:p>
            <w:r>
              <w:rPr>
                <w:b w:val="false"/>
                <w:bCs w:val="false"/>
                <w:color w:val="000000"/>
                <w:sz w:val="18"/>
                <w:szCs w:val="18"/>
              </w:rPr>
              <w:t xml:space="preserve">Provide a sheathing and nailing specification for the replacement areas that matches or exceeds the existing diaphragm, including edge blocking or support and the connection to adjacent existing sheathing and the wall boundary. (This is the same detail gap the V2 gravity review found for subfloor attachment.)</w:t>
            </w:r>
          </w:p>
        </w:tc>
      </w:tr>
      <w:tr>
        <w:trPr>
          <w:cantSplit/>
        </w:trPr>
        <w:tc>
          <w:tcPr>
            <w:tcW w:type="dxa" w:w="500"/>
            <w:shd w:fill="FFFFFF" w:val="clear"/>
            <w:tcMar>
              <w:top w:type="dxa" w:w="80"/>
              <w:left w:type="dxa" w:w="100"/>
              <w:bottom w:type="dxa" w:w="80"/>
              <w:right w:type="dxa" w:w="100"/>
            </w:tcMar>
          </w:tcPr>
          <w:p>
            <w:r>
              <w:rPr>
                <w:b w:val="false"/>
                <w:bCs w:val="false"/>
                <w:color w:val="000000"/>
                <w:sz w:val="18"/>
                <w:szCs w:val="18"/>
              </w:rPr>
              <w:t xml:space="preserve">3</w:t>
            </w:r>
          </w:p>
        </w:tc>
        <w:tc>
          <w:tcPr>
            <w:tcW w:type="dxa" w:w="1400"/>
            <w:shd w:fill="FFFFFF" w:val="clear"/>
            <w:tcMar>
              <w:top w:type="dxa" w:w="80"/>
              <w:left w:type="dxa" w:w="100"/>
              <w:bottom w:type="dxa" w:w="80"/>
              <w:right w:type="dxa" w:w="100"/>
            </w:tcMar>
          </w:tcPr>
          <w:p>
            <w:r>
              <w:rPr>
                <w:b w:val="false"/>
                <w:bCs w:val="false"/>
                <w:color w:val="000000"/>
                <w:sz w:val="18"/>
                <w:szCs w:val="18"/>
              </w:rPr>
              <w:t xml:space="preserve">Broken / unconfirmed path</w:t>
            </w:r>
          </w:p>
        </w:tc>
        <w:tc>
          <w:tcPr>
            <w:tcW w:type="dxa" w:w="1500"/>
            <w:shd w:fill="FFFFFF" w:val="clear"/>
            <w:tcMar>
              <w:top w:type="dxa" w:w="80"/>
              <w:left w:type="dxa" w:w="100"/>
              <w:bottom w:type="dxa" w:w="80"/>
              <w:right w:type="dxa" w:w="100"/>
            </w:tcMar>
          </w:tcPr>
          <w:p>
            <w:r>
              <w:rPr>
                <w:b w:val="false"/>
                <w:bCs w:val="false"/>
                <w:color w:val="000000"/>
                <w:sz w:val="18"/>
                <w:szCs w:val="18"/>
              </w:rPr>
              <w:t xml:space="preserve">S1.1 — New LVL's and CMU Piers detail</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No positive connection is shown between the new LVL beam and the new piers (shim only), or between the piers and their concrete bases. The end brackets are a positive connection, but their horizontal-force basis is not documented.</w:t>
            </w:r>
          </w:p>
        </w:tc>
        <w:tc>
          <w:tcPr>
            <w:tcW w:type="dxa" w:w="1700"/>
            <w:shd w:fill="FFFFFF" w:val="clear"/>
            <w:tcMar>
              <w:top w:type="dxa" w:w="80"/>
              <w:left w:type="dxa" w:w="100"/>
              <w:bottom w:type="dxa" w:w="80"/>
              <w:right w:type="dxa" w:w="100"/>
            </w:tcMar>
          </w:tcPr>
          <w:p>
            <w:r>
              <w:rPr>
                <w:b w:val="false"/>
                <w:bCs w:val="false"/>
                <w:color w:val="000000"/>
                <w:sz w:val="18"/>
                <w:szCs w:val="18"/>
              </w:rPr>
              <w:t xml:space="preserve">ASCE 7-16 §12.1.4 (same in 7-22): positive connection for 5% of D+L reaction parallel to the member</w:t>
            </w:r>
          </w:p>
        </w:tc>
        <w:tc>
          <w:tcPr>
            <w:tcW w:type="dxa" w:w="2080"/>
            <w:shd w:fill="FFFFFF" w:val="clear"/>
            <w:tcMar>
              <w:top w:type="dxa" w:w="80"/>
              <w:left w:type="dxa" w:w="100"/>
              <w:bottom w:type="dxa" w:w="80"/>
              <w:right w:type="dxa" w:w="100"/>
            </w:tcMar>
          </w:tcPr>
          <w:p>
            <w:r>
              <w:rPr>
                <w:b w:val="false"/>
                <w:bCs w:val="false"/>
                <w:color w:val="000000"/>
                <w:sz w:val="18"/>
                <w:szCs w:val="18"/>
              </w:rPr>
              <w:t xml:space="preserve">Confirm the end brackets are designed to provide the §12.1.4 connection for the continuous beam line, or add beam-to-pier connections (for example straps or clip angles). Show a pier-to-base dowel or keyed bearing if lateral restraint of the pier is relied on.</w:t>
            </w:r>
          </w:p>
        </w:tc>
      </w:tr>
      <w:tr>
        <w:trPr>
          <w:cantSplit/>
        </w:trPr>
        <w:tc>
          <w:tcPr>
            <w:tcW w:type="dxa" w:w="500"/>
            <w:shd w:fill="DCE6F1" w:val="clear"/>
            <w:tcMar>
              <w:top w:type="dxa" w:w="80"/>
              <w:left w:type="dxa" w:w="100"/>
              <w:bottom w:type="dxa" w:w="80"/>
              <w:right w:type="dxa" w:w="100"/>
            </w:tcMar>
          </w:tcPr>
          <w:p>
            <w:r>
              <w:rPr>
                <w:b w:val="false"/>
                <w:bCs w:val="false"/>
                <w:color w:val="000000"/>
                <w:sz w:val="18"/>
                <w:szCs w:val="18"/>
              </w:rPr>
              <w:t xml:space="preserve">4</w:t>
            </w:r>
          </w:p>
        </w:tc>
        <w:tc>
          <w:tcPr>
            <w:tcW w:type="dxa" w:w="1400"/>
            <w:shd w:fill="DCE6F1" w:val="clear"/>
            <w:tcMar>
              <w:top w:type="dxa" w:w="80"/>
              <w:left w:type="dxa" w:w="100"/>
              <w:bottom w:type="dxa" w:w="80"/>
              <w:right w:type="dxa" w:w="100"/>
            </w:tcMar>
          </w:tcPr>
          <w:p>
            <w:r>
              <w:rPr>
                <w:b w:val="false"/>
                <w:bCs w:val="false"/>
                <w:color w:val="000000"/>
                <w:sz w:val="18"/>
                <w:szCs w:val="18"/>
              </w:rPr>
              <w:t xml:space="preserve">Detailing non-conformance (confirm)</w:t>
            </w:r>
          </w:p>
        </w:tc>
        <w:tc>
          <w:tcPr>
            <w:tcW w:type="dxa" w:w="1500"/>
            <w:shd w:fill="DCE6F1" w:val="clear"/>
            <w:tcMar>
              <w:top w:type="dxa" w:w="80"/>
              <w:left w:type="dxa" w:w="100"/>
              <w:bottom w:type="dxa" w:w="80"/>
              <w:right w:type="dxa" w:w="100"/>
            </w:tcMar>
          </w:tcPr>
          <w:p>
            <w:r>
              <w:rPr>
                <w:b w:val="false"/>
                <w:bCs w:val="false"/>
                <w:color w:val="000000"/>
                <w:sz w:val="18"/>
                <w:szCs w:val="18"/>
              </w:rPr>
              <w:t xml:space="preserve">S1.1 — 16"x16" CMU pier</w:t>
            </w:r>
          </w:p>
        </w:tc>
        <w:tc>
          <w:tcPr>
            <w:tcW w:type="dxa" w:w="2900"/>
            <w:shd w:fill="DCE6F1" w:val="clear"/>
            <w:tcMar>
              <w:top w:type="dxa" w:w="80"/>
              <w:left w:type="dxa" w:w="100"/>
              <w:bottom w:type="dxa" w:w="80"/>
              <w:right w:type="dxa" w:w="100"/>
            </w:tcMar>
          </w:tcPr>
          <w:p>
            <w:r>
              <w:rPr>
                <w:b w:val="false"/>
                <w:bCs w:val="false"/>
                <w:color w:val="000000"/>
                <w:sz w:val="18"/>
                <w:szCs w:val="18"/>
              </w:rPr>
              <w:t xml:space="preserve">The new isolated CMU piers are grouted but unreinforced, with no dowels to the base. If the project is SDC D (per T1.1), isolated masonry piers or columns typically need reinforcement and ties.</w:t>
            </w:r>
          </w:p>
        </w:tc>
        <w:tc>
          <w:tcPr>
            <w:tcW w:type="dxa" w:w="1700"/>
            <w:shd w:fill="DCE6F1" w:val="clear"/>
            <w:tcMar>
              <w:top w:type="dxa" w:w="80"/>
              <w:left w:type="dxa" w:w="100"/>
              <w:bottom w:type="dxa" w:w="80"/>
              <w:right w:type="dxa" w:w="100"/>
            </w:tcMar>
          </w:tcPr>
          <w:p>
            <w:r>
              <w:rPr>
                <w:b w:val="false"/>
                <w:bCs w:val="false"/>
                <w:color w:val="000000"/>
                <w:sz w:val="18"/>
                <w:szCs w:val="18"/>
              </w:rPr>
              <w:t xml:space="preserve">TMS 402 masonry column and seismic requirements (verify: TMS 402); ASCE 7-16 §14.4</w:t>
            </w:r>
          </w:p>
        </w:tc>
        <w:tc>
          <w:tcPr>
            <w:tcW w:type="dxa" w:w="2080"/>
            <w:shd w:fill="DCE6F1" w:val="clear"/>
            <w:tcMar>
              <w:top w:type="dxa" w:w="80"/>
              <w:left w:type="dxa" w:w="100"/>
              <w:bottom w:type="dxa" w:w="80"/>
              <w:right w:type="dxa" w:w="100"/>
            </w:tcMar>
          </w:tcPr>
          <w:p>
            <w:r>
              <w:rPr>
                <w:b w:val="false"/>
                <w:bCs w:val="false"/>
                <w:color w:val="000000"/>
                <w:sz w:val="18"/>
                <w:szCs w:val="18"/>
              </w:rPr>
              <w:t xml:space="preserve">Confirm the classification and SDC requirements for the new piers. Add longitudinal reinforcement, ties, and base dowels if required, or document why plain masonry is permitted.</w:t>
            </w:r>
          </w:p>
        </w:tc>
      </w:tr>
      <w:tr>
        <w:trPr>
          <w:cantSplit/>
        </w:trPr>
        <w:tc>
          <w:tcPr>
            <w:tcW w:type="dxa" w:w="500"/>
            <w:shd w:fill="FFFFFF" w:val="clear"/>
            <w:tcMar>
              <w:top w:type="dxa" w:w="80"/>
              <w:left w:type="dxa" w:w="100"/>
              <w:bottom w:type="dxa" w:w="80"/>
              <w:right w:type="dxa" w:w="100"/>
            </w:tcMar>
          </w:tcPr>
          <w:p>
            <w:r>
              <w:rPr>
                <w:b w:val="false"/>
                <w:bCs w:val="false"/>
                <w:color w:val="000000"/>
                <w:sz w:val="18"/>
                <w:szCs w:val="18"/>
              </w:rPr>
              <w:t xml:space="preserve">5</w:t>
            </w:r>
          </w:p>
        </w:tc>
        <w:tc>
          <w:tcPr>
            <w:tcW w:type="dxa" w:w="1400"/>
            <w:shd w:fill="FFFFFF" w:val="clear"/>
            <w:tcMar>
              <w:top w:type="dxa" w:w="80"/>
              <w:left w:type="dxa" w:w="100"/>
              <w:bottom w:type="dxa" w:w="80"/>
              <w:right w:type="dxa" w:w="100"/>
            </w:tcMar>
          </w:tcPr>
          <w:p>
            <w:r>
              <w:rPr>
                <w:b w:val="false"/>
                <w:bCs w:val="false"/>
                <w:color w:val="000000"/>
                <w:sz w:val="18"/>
                <w:szCs w:val="18"/>
              </w:rPr>
              <w:t xml:space="preserve">Broken / unconfirmed path (nonstructural)</w:t>
            </w:r>
          </w:p>
        </w:tc>
        <w:tc>
          <w:tcPr>
            <w:tcW w:type="dxa" w:w="1500"/>
            <w:shd w:fill="FFFFFF" w:val="clear"/>
            <w:tcMar>
              <w:top w:type="dxa" w:w="80"/>
              <w:left w:type="dxa" w:w="100"/>
              <w:bottom w:type="dxa" w:w="80"/>
              <w:right w:type="dxa" w:w="100"/>
            </w:tcMar>
          </w:tcPr>
          <w:p>
            <w:r>
              <w:rPr>
                <w:b w:val="false"/>
                <w:bCs w:val="false"/>
                <w:color w:val="000000"/>
                <w:sz w:val="18"/>
                <w:szCs w:val="18"/>
              </w:rPr>
              <w:t xml:space="preserve">A1.2 partition bracing detail; A1.1 keynote A2 (lift)</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The partition top bracing detail says "brace to structure above" with no fastener or spacing. The replacement vertical platform lift reuses existing infrastructure, with no anchorage basis shown.</w:t>
            </w:r>
          </w:p>
        </w:tc>
        <w:tc>
          <w:tcPr>
            <w:tcW w:type="dxa" w:w="1700"/>
            <w:shd w:fill="FFFFFF" w:val="clear"/>
            <w:tcMar>
              <w:top w:type="dxa" w:w="80"/>
              <w:left w:type="dxa" w:w="100"/>
              <w:bottom w:type="dxa" w:w="80"/>
              <w:right w:type="dxa" w:w="100"/>
            </w:tcMar>
          </w:tcPr>
          <w:p>
            <w:r>
              <w:rPr>
                <w:b w:val="false"/>
                <w:bCs w:val="false"/>
                <w:color w:val="000000"/>
                <w:sz w:val="18"/>
                <w:szCs w:val="18"/>
              </w:rPr>
              <w:t xml:space="preserve">ASCE 7-16 Ch. 13 (component anchorage), if SDC D applies</w:t>
            </w:r>
          </w:p>
        </w:tc>
        <w:tc>
          <w:tcPr>
            <w:tcW w:type="dxa" w:w="2080"/>
            <w:shd w:fill="FFFFFF" w:val="clear"/>
            <w:tcMar>
              <w:top w:type="dxa" w:w="80"/>
              <w:left w:type="dxa" w:w="100"/>
              <w:bottom w:type="dxa" w:w="80"/>
              <w:right w:type="dxa" w:w="100"/>
            </w:tcMar>
          </w:tcPr>
          <w:p>
            <w:r>
              <w:rPr>
                <w:b w:val="false"/>
                <w:bCs w:val="false"/>
                <w:color w:val="000000"/>
                <w:sz w:val="18"/>
                <w:szCs w:val="18"/>
              </w:rPr>
              <w:t xml:space="preserve">Specify partition top bracing fasteners. Require the lift submittal to include seismic anchorage design for the stated SDC.</w:t>
            </w:r>
          </w:p>
        </w:tc>
      </w:tr>
      <w:tr>
        <w:trPr>
          <w:cantSplit/>
        </w:trPr>
        <w:tc>
          <w:tcPr>
            <w:tcW w:type="dxa" w:w="500"/>
            <w:shd w:fill="DCE6F1" w:val="clear"/>
            <w:tcMar>
              <w:top w:type="dxa" w:w="80"/>
              <w:left w:type="dxa" w:w="100"/>
              <w:bottom w:type="dxa" w:w="80"/>
              <w:right w:type="dxa" w:w="100"/>
            </w:tcMar>
          </w:tcPr>
          <w:p>
            <w:r>
              <w:rPr>
                <w:b w:val="false"/>
                <w:bCs w:val="false"/>
                <w:color w:val="000000"/>
                <w:sz w:val="18"/>
                <w:szCs w:val="18"/>
              </w:rPr>
              <w:t xml:space="preserve">6</w:t>
            </w:r>
          </w:p>
        </w:tc>
        <w:tc>
          <w:tcPr>
            <w:tcW w:type="dxa" w:w="1400"/>
            <w:shd w:fill="DCE6F1" w:val="clear"/>
            <w:tcMar>
              <w:top w:type="dxa" w:w="80"/>
              <w:left w:type="dxa" w:w="100"/>
              <w:bottom w:type="dxa" w:w="80"/>
              <w:right w:type="dxa" w:w="100"/>
            </w:tcMar>
          </w:tcPr>
          <w:p>
            <w:r>
              <w:rPr>
                <w:b w:val="false"/>
                <w:bCs w:val="false"/>
                <w:color w:val="000000"/>
                <w:sz w:val="18"/>
                <w:szCs w:val="18"/>
              </w:rPr>
              <w:t xml:space="preserve">Informational (existing condition)</w:t>
            </w:r>
          </w:p>
        </w:tc>
        <w:tc>
          <w:tcPr>
            <w:tcW w:type="dxa" w:w="1500"/>
            <w:shd w:fill="DCE6F1" w:val="clear"/>
            <w:tcMar>
              <w:top w:type="dxa" w:w="80"/>
              <w:left w:type="dxa" w:w="100"/>
              <w:bottom w:type="dxa" w:w="80"/>
              <w:right w:type="dxa" w:w="100"/>
            </w:tcMar>
          </w:tcPr>
          <w:p>
            <w:r>
              <w:rPr>
                <w:b w:val="false"/>
                <w:bCs w:val="false"/>
                <w:color w:val="000000"/>
                <w:sz w:val="18"/>
                <w:szCs w:val="18"/>
              </w:rPr>
              <w:t xml:space="preserve">Building-wide</w:t>
            </w:r>
          </w:p>
        </w:tc>
        <w:tc>
          <w:tcPr>
            <w:tcW w:type="dxa" w:w="2900"/>
            <w:shd w:fill="DCE6F1" w:val="clear"/>
            <w:tcMar>
              <w:top w:type="dxa" w:w="80"/>
              <w:left w:type="dxa" w:w="100"/>
              <w:bottom w:type="dxa" w:w="80"/>
              <w:right w:type="dxa" w:w="100"/>
            </w:tcMar>
          </w:tcPr>
          <w:p>
            <w:r>
              <w:rPr>
                <w:b w:val="false"/>
                <w:bCs w:val="false"/>
                <w:color w:val="000000"/>
                <w:sz w:val="18"/>
                <w:szCs w:val="18"/>
              </w:rPr>
              <w:t xml:space="preserve">The existing building appears to be a masonry bearing-wall building with wood diaphragms, a type that is vulnerable to wall-to-diaphragm anchorage failure. No as-built lateral information is in the set, and the notes state the structure is not being upgraded.</w:t>
            </w:r>
          </w:p>
        </w:tc>
        <w:tc>
          <w:tcPr>
            <w:tcW w:type="dxa" w:w="1700"/>
            <w:shd w:fill="DCE6F1" w:val="clear"/>
            <w:tcMar>
              <w:top w:type="dxa" w:w="80"/>
              <w:left w:type="dxa" w:w="100"/>
              <w:bottom w:type="dxa" w:w="80"/>
              <w:right w:type="dxa" w:w="100"/>
            </w:tcMar>
          </w:tcPr>
          <w:p>
            <w:r>
              <w:rPr>
                <w:b w:val="false"/>
                <w:bCs w:val="false"/>
                <w:color w:val="000000"/>
                <w:sz w:val="18"/>
                <w:szCs w:val="18"/>
              </w:rPr>
              <w:t xml:space="preserve">IEBC 2021 / ASCE 41 (verify)</w:t>
            </w:r>
          </w:p>
        </w:tc>
        <w:tc>
          <w:tcPr>
            <w:tcW w:type="dxa" w:w="2080"/>
            <w:shd w:fill="DCE6F1" w:val="clear"/>
            <w:tcMar>
              <w:top w:type="dxa" w:w="80"/>
              <w:left w:type="dxa" w:w="100"/>
              <w:bottom w:type="dxa" w:w="80"/>
              <w:right w:type="dxa" w:w="100"/>
            </w:tcMar>
          </w:tcPr>
          <w:p>
            <w:r>
              <w:rPr>
                <w:b w:val="false"/>
                <w:bCs w:val="false"/>
                <w:color w:val="000000"/>
                <w:sz w:val="18"/>
                <w:szCs w:val="18"/>
              </w:rPr>
              <w:t xml:space="preserve">No action required for this permit unless IEBC triggers apply. Recommend the owner be informed of the building type for future planning.</w:t>
            </w:r>
          </w:p>
        </w:tc>
      </w:tr>
      <w:tr>
        <w:trPr>
          <w:cantSplit/>
        </w:trPr>
        <w:tc>
          <w:tcPr>
            <w:tcW w:type="dxa" w:w="500"/>
            <w:shd w:fill="FFFFFF" w:val="clear"/>
            <w:tcMar>
              <w:top w:type="dxa" w:w="80"/>
              <w:left w:type="dxa" w:w="100"/>
              <w:bottom w:type="dxa" w:w="80"/>
              <w:right w:type="dxa" w:w="100"/>
            </w:tcMar>
          </w:tcPr>
          <w:p>
            <w:r>
              <w:rPr>
                <w:b w:val="false"/>
                <w:bCs w:val="false"/>
                <w:color w:val="000000"/>
                <w:sz w:val="18"/>
                <w:szCs w:val="18"/>
              </w:rPr>
              <w:t xml:space="preserve">7</w:t>
            </w:r>
          </w:p>
        </w:tc>
        <w:tc>
          <w:tcPr>
            <w:tcW w:type="dxa" w:w="1400"/>
            <w:shd w:fill="FFFFFF" w:val="clear"/>
            <w:tcMar>
              <w:top w:type="dxa" w:w="80"/>
              <w:left w:type="dxa" w:w="100"/>
              <w:bottom w:type="dxa" w:w="80"/>
              <w:right w:type="dxa" w:w="100"/>
            </w:tcMar>
          </w:tcPr>
          <w:p>
            <w:r>
              <w:rPr>
                <w:b w:val="false"/>
                <w:bCs w:val="false"/>
                <w:color w:val="000000"/>
                <w:sz w:val="18"/>
                <w:szCs w:val="18"/>
              </w:rPr>
              <w:t xml:space="preserve">Reference gap</w:t>
            </w:r>
          </w:p>
        </w:tc>
        <w:tc>
          <w:tcPr>
            <w:tcW w:type="dxa" w:w="1500"/>
            <w:shd w:fill="FFFFFF" w:val="clear"/>
            <w:tcMar>
              <w:top w:type="dxa" w:w="80"/>
              <w:left w:type="dxa" w:w="100"/>
              <w:bottom w:type="dxa" w:w="80"/>
              <w:right w:type="dxa" w:w="100"/>
            </w:tcMar>
          </w:tcPr>
          <w:p>
            <w:r>
              <w:rPr>
                <w:b w:val="false"/>
                <w:bCs w:val="false"/>
                <w:color w:val="000000"/>
                <w:sz w:val="18"/>
                <w:szCs w:val="18"/>
              </w:rPr>
              <w:t xml:space="preserve">Skill references</w:t>
            </w:r>
          </w:p>
        </w:tc>
        <w:tc>
          <w:tcPr>
            <w:tcW w:type="dxa" w:w="2900"/>
            <w:shd w:fill="FFFFFF" w:val="clear"/>
            <w:tcMar>
              <w:top w:type="dxa" w:w="80"/>
              <w:left w:type="dxa" w:w="100"/>
              <w:bottom w:type="dxa" w:w="80"/>
              <w:right w:type="dxa" w:w="100"/>
            </w:tcMar>
          </w:tcPr>
          <w:p>
            <w:r>
              <w:rPr>
                <w:b w:val="false"/>
                <w:bCs w:val="false"/>
                <w:color w:val="000000"/>
                <w:sz w:val="18"/>
                <w:szCs w:val="18"/>
              </w:rPr>
              <w:t xml:space="preserve">(a) The project is outside California and uses IBC 2021 / ASCE 7-16; the skill's references are written to ASCE 7-22. (b) IEBC alteration triggers for lateral systems are not covered. (c) Ceiling (ASTM E580) and lift anchorage are not covered in the nonstructural reference. (d) The wind basis is not covered.</w:t>
            </w:r>
          </w:p>
        </w:tc>
        <w:tc>
          <w:tcPr>
            <w:tcW w:type="dxa" w:w="1700"/>
            <w:shd w:fill="FFFFFF" w:val="clear"/>
            <w:tcMar>
              <w:top w:type="dxa" w:w="80"/>
              <w:left w:type="dxa" w:w="100"/>
              <w:bottom w:type="dxa" w:w="80"/>
              <w:right w:type="dxa" w:w="100"/>
            </w:tcMar>
          </w:tcPr>
          <w:p>
            <w:r>
              <w:rPr>
                <w:b w:val="false"/>
                <w:bCs w:val="false"/>
                <w:color w:val="000000"/>
                <w:sz w:val="18"/>
                <w:szCs w:val="18"/>
              </w:rPr>
              <w:t xml:space="preserve">—</w:t>
            </w:r>
          </w:p>
        </w:tc>
        <w:tc>
          <w:tcPr>
            <w:tcW w:type="dxa" w:w="2080"/>
            <w:shd w:fill="FFFFFF" w:val="clear"/>
            <w:tcMar>
              <w:top w:type="dxa" w:w="80"/>
              <w:left w:type="dxa" w:w="100"/>
              <w:bottom w:type="dxa" w:w="80"/>
              <w:right w:type="dxa" w:w="100"/>
            </w:tcMar>
          </w:tcPr>
          <w:p>
            <w:r>
              <w:rPr>
                <w:b w:val="false"/>
                <w:bCs w:val="false"/>
                <w:color w:val="000000"/>
                <w:sz w:val="18"/>
                <w:szCs w:val="18"/>
              </w:rPr>
              <w:t xml:space="preserve">Expand the skill references (see the test notes accompanying this example).</w:t>
            </w:r>
          </w:p>
        </w:tc>
      </w:tr>
    </w:tbl>
    <w:p>
      <w:pPr>
        <w:pStyle w:val="Heading1"/>
        <w:pBdr>
          <w:bottom w:val="single" w:color="1F3864" w:sz="6" w:space="4"/>
        </w:pBdr>
        <w:spacing w:after="160" w:before="360"/>
      </w:pPr>
      <w:r>
        <w:rPr>
          <w:b/>
          <w:bCs/>
          <w:color w:val="1F3864"/>
          <w:sz w:val="28"/>
          <w:szCs w:val="28"/>
        </w:rPr>
        <w:t xml:space="preserve">Appendix</w:t>
      </w:r>
    </w:p>
    <w:p>
      <w:pPr>
        <w:pStyle w:val="Heading2"/>
        <w:spacing w:after="120" w:before="240"/>
      </w:pPr>
      <w:r>
        <w:rPr>
          <w:b/>
          <w:bCs/>
          <w:color w:val="1F3864"/>
          <w:sz w:val="24"/>
          <w:szCs w:val="24"/>
        </w:rPr>
        <w:t xml:space="preserve">Details and Schedules Relied On</w:t>
      </w:r>
    </w:p>
    <w:p>
      <w:pPr>
        <w:pStyle w:val="ListParagraph"/>
        <w:numPr>
          <w:ilvl w:val="0"/>
          <w:numId w:val="1"/>
        </w:numPr>
        <w:spacing w:after="80"/>
      </w:pPr>
      <w:r>
        <w:rPr>
          <w:sz w:val="21"/>
          <w:szCs w:val="21"/>
        </w:rPr>
        <w:t xml:space="preserve">S1.0 General Notes 1-8, Soil Notes 1-2, and Existing and Demolition Plan.</w:t>
      </w:r>
    </w:p>
    <w:p>
      <w:pPr>
        <w:pStyle w:val="ListParagraph"/>
        <w:numPr>
          <w:ilvl w:val="0"/>
          <w:numId w:val="1"/>
        </w:numPr>
        <w:spacing w:after="80"/>
      </w:pPr>
      <w:r>
        <w:rPr>
          <w:sz w:val="21"/>
          <w:szCs w:val="21"/>
        </w:rPr>
        <w:t xml:space="preserve">S1.1 Framing Plan; details: New LVL's to Existing Dropped Beams; New LVL's and CMU Piers; Typical LVL Splice Detail; Wood Beam Bracket Detail; Beam Bearing Detail with Bracket.</w:t>
      </w:r>
    </w:p>
    <w:p>
      <w:pPr>
        <w:pStyle w:val="ListParagraph"/>
        <w:numPr>
          <w:ilvl w:val="0"/>
          <w:numId w:val="1"/>
        </w:numPr>
        <w:spacing w:after="80"/>
      </w:pPr>
      <w:r>
        <w:rPr>
          <w:sz w:val="21"/>
          <w:szCs w:val="21"/>
        </w:rPr>
        <w:t xml:space="preserve">T1.1 Code Review Notes (split level; occupancy) and General Note 6 (SDC D ceilings).</w:t>
      </w:r>
    </w:p>
    <w:p>
      <w:pPr>
        <w:pStyle w:val="ListParagraph"/>
        <w:numPr>
          <w:ilvl w:val="0"/>
          <w:numId w:val="1"/>
        </w:numPr>
        <w:spacing w:after="80"/>
      </w:pPr>
      <w:r>
        <w:rPr>
          <w:sz w:val="21"/>
          <w:szCs w:val="21"/>
        </w:rPr>
        <w:t xml:space="preserve">A1.1 keynotes A1 (new subfloor) and A2 (vertical platform lift); A1.2 partition bracing detail and ceiling seismic guidance.</w:t>
      </w:r>
    </w:p>
    <w:p>
      <w:pPr>
        <w:pStyle w:val="ListParagraph"/>
        <w:numPr>
          <w:ilvl w:val="0"/>
          <w:numId w:val="1"/>
        </w:numPr>
        <w:spacing w:after="80"/>
      </w:pPr>
      <w:r>
        <w:rPr>
          <w:sz w:val="21"/>
          <w:szCs w:val="21"/>
        </w:rPr>
        <w:t xml:space="preserve">No typical/standard structural detail was relied on in place of a project-specific one. The wall anchorage, floor-to-wall connection, and exterior wall foundation are simply not shown.</w:t>
      </w:r>
    </w:p>
    <w:p>
      <w:pPr>
        <w:pStyle w:val="Heading2"/>
        <w:spacing w:after="120" w:before="240"/>
      </w:pPr>
      <w:r>
        <w:rPr>
          <w:b/>
          <w:bCs/>
          <w:color w:val="1F3864"/>
          <w:sz w:val="24"/>
          <w:szCs w:val="24"/>
        </w:rPr>
        <w:t xml:space="preserve">Items to Confirm Against Governing Documents</w:t>
      </w:r>
    </w:p>
    <w:p>
      <w:pPr>
        <w:pStyle w:val="ListParagraph"/>
        <w:numPr>
          <w:ilvl w:val="0"/>
          <w:numId w:val="1"/>
        </w:numPr>
        <w:spacing w:after="80"/>
      </w:pPr>
      <w:r>
        <w:rPr>
          <w:sz w:val="21"/>
          <w:szCs w:val="21"/>
        </w:rPr>
        <w:t xml:space="preserve">IEBC 2021: alteration level and any lateral-evaluation trigger for this scope (for example, alterations that reduce lateral capacity or increase demand).</w:t>
      </w:r>
    </w:p>
    <w:p>
      <w:pPr>
        <w:pStyle w:val="ListParagraph"/>
        <w:numPr>
          <w:ilvl w:val="0"/>
          <w:numId w:val="1"/>
        </w:numPr>
        <w:spacing w:after="80"/>
      </w:pPr>
      <w:r>
        <w:rPr>
          <w:sz w:val="21"/>
          <w:szCs w:val="21"/>
        </w:rPr>
        <w:t xml:space="preserve">IBC 2021 §1603.1.5: earthquake design data required on the construction documents for alterations.</w:t>
      </w:r>
    </w:p>
    <w:p>
      <w:pPr>
        <w:pStyle w:val="ListParagraph"/>
        <w:numPr>
          <w:ilvl w:val="0"/>
          <w:numId w:val="1"/>
        </w:numPr>
        <w:spacing w:after="80"/>
      </w:pPr>
      <w:r>
        <w:rPr>
          <w:sz w:val="21"/>
          <w:szCs w:val="21"/>
        </w:rPr>
        <w:t xml:space="preserve">SDPWS: sheathing and nailing for the replacement diaphragm areas.</w:t>
      </w:r>
    </w:p>
    <w:p>
      <w:pPr>
        <w:pStyle w:val="ListParagraph"/>
        <w:numPr>
          <w:ilvl w:val="0"/>
          <w:numId w:val="1"/>
        </w:numPr>
        <w:spacing w:after="80"/>
      </w:pPr>
      <w:r>
        <w:rPr>
          <w:sz w:val="21"/>
          <w:szCs w:val="21"/>
        </w:rPr>
        <w:t xml:space="preserve">TMS 402: reinforcement requirements for isolated masonry piers or columns in the governing SDC.</w:t>
      </w:r>
    </w:p>
    <w:p>
      <w:pPr>
        <w:pStyle w:val="ListParagraph"/>
        <w:numPr>
          <w:ilvl w:val="0"/>
          <w:numId w:val="1"/>
        </w:numPr>
        <w:spacing w:after="80"/>
      </w:pPr>
      <w:r>
        <w:rPr>
          <w:sz w:val="21"/>
          <w:szCs w:val="21"/>
        </w:rPr>
        <w:t xml:space="preserve">ASCE 7-16 Chapter 13: ceiling and lift requirements, if SDC D applies.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color w:val="595959"/>
        <w:sz w:val="16"/>
        <w:szCs w:val="16"/>
      </w:rPr>
      <w:t xml:space="preserve">Lateral Load Path QA/QC Report</w:t>
    </w:r>
    <w:r>
      <w:rPr>
        <w:color w:val="595959"/>
        <w:sz w:val="16"/>
        <w:szCs w:val="16"/>
      </w:rPr>
      <w:t xml:space="preserve">	Institutional Building Renovation [redacted]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2026-10-02T01:34:24.839Z</dcterms:created>
  <dcterms:modified xsi:type="dcterms:W3CDTF">2026-10-02T01:34:24.847Z</dcterms:modified>
</cp:coreProperties>
</file>

<file path=docProps/custom.xml><?xml version="1.0" encoding="utf-8"?>
<Properties xmlns="http://schemas.openxmlformats.org/officeDocument/2006/custom-properties" xmlns:vt="http://schemas.openxmlformats.org/officeDocument/2006/docPropsVTypes"/>
</file>