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color w:val="1F3864"/>
          <w:sz w:val="44"/>
          <w:szCs w:val="44"/>
        </w:rPr>
        <w:t xml:space="preserve">LATERAL LOAD PATH</w:t>
      </w:r>
    </w:p>
    <w:p>
      <w:pPr>
        <w:spacing w:after="480"/>
        <w:jc w:val="center"/>
      </w:pPr>
      <w:r>
        <w:rPr>
          <w:b/>
          <w:bCs/>
          <w:color w:val="1F3864"/>
          <w:sz w:val="44"/>
          <w:szCs w:val="44"/>
        </w:rPr>
        <w:t xml:space="preserve">QA/QC REVIEW REPORT</w:t>
      </w:r>
    </w:p>
    <w:p>
      <w:pPr>
        <w:spacing w:after="120"/>
        <w:jc w:val="center"/>
      </w:pPr>
      <w:r>
        <w:rPr>
          <w:b/>
          <w:bCs/>
          <w:sz w:val="28"/>
          <w:szCs w:val="28"/>
        </w:rPr>
        <w:t xml:space="preserve">[PROJECT NAME]</w:t>
      </w:r>
    </w:p>
    <w:p>
      <w:pPr>
        <w:spacing w:after="120"/>
        <w:jc w:val="center"/>
      </w:pPr>
      <w:r>
        <w:rPr>
          <w:color w:val="595959"/>
          <w:sz w:val="24"/>
          <w:szCs w:val="24"/>
        </w:rPr>
        <w:t xml:space="preserve">[Project No. XXXXX]</w:t>
      </w:r>
    </w:p>
    <w:p>
      <w:pPr>
        <w:spacing w:after="1600"/>
        <w:jc w:val="center"/>
      </w:pPr>
      <w:r>
        <w:rPr>
          <w:i/>
          <w:iCs/>
          <w:color w:val="595959"/>
          <w:sz w:val="22"/>
          <w:szCs w:val="22"/>
        </w:rPr>
        <w:t xml:space="preserve">[Drawing set title / issue date / revision reviewed; calcs and geotech report reviewed]</w:t>
      </w:r>
    </w:p>
    <w:p>
      <w:pPr>
        <w:spacing w:after="80"/>
        <w:jc w:val="center"/>
      </w:pPr>
      <w:r>
        <w:rPr>
          <w:sz w:val="22"/>
          <w:szCs w:val="22"/>
        </w:rPr>
        <w:t xml:space="preserve">Prepared by: [Name]</w:t>
      </w:r>
    </w:p>
    <w:p>
      <w:pPr>
        <w:spacing w:after="80"/>
        <w:jc w:val="center"/>
      </w:pPr>
      <w:r>
        <w:rPr>
          <w:sz w:val="22"/>
          <w:szCs w:val="22"/>
        </w:rPr>
        <w:t xml:space="preserve">Date: [Date]</w:t>
      </w:r>
    </w:p>
    <w:p>
      <w:pPr>
        <w:spacing w:after="3200"/>
        <w:jc w:val="center"/>
      </w:pPr>
      <w:r>
        <w:rPr>
          <w:i/>
          <w:iCs/>
          <w:color w:val="595959"/>
          <w:sz w:val="22"/>
          <w:szCs w:val="22"/>
        </w:rPr>
        <w:t xml:space="preserve">Scope: Lateral (Seismic) Load Path and Design Basis (V3)</w:t>
      </w:r>
    </w:p>
    <w:p>
      <w:pPr>
        <w:jc w:val="center"/>
      </w:pPr>
      <w:r>
        <w:rPr>
          <w:i/>
          <w:iCs/>
          <w:color w:val="595959"/>
          <w:sz w:val="18"/>
          <w:szCs w:val="18"/>
        </w:rPr>
        <w:t xml:space="preserve">This report traces the lateral load path and checks the stated seismic design basis and detailing qualitatively against ASCE 7-22 and the referenced material standards. It does not include load-magnitude or capacity calculations, and it does not replace the engineer of record's responsibility or plan check.</w:t>
      </w:r>
    </w:p>
    <w:p>
      <w:r>
        <w:br w:type="page"/>
      </w:r>
    </w:p>
    <w:p>
      <w:pPr>
        <w:sectPr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28"/>
          <w:szCs w:val="28"/>
        </w:rPr>
        <w:t xml:space="preserve">Executive Summary</w:t>
      </w:r>
    </w:p>
    <w:p>
      <w:pPr>
        <w:spacing w:after="160"/>
      </w:pPr>
      <w:r>
        <w:rPr>
          <w:sz w:val="21"/>
          <w:szCs w:val="21"/>
        </w:rPr>
        <w:t xml:space="preserve">This report documents a lateral (seismic) load path trace of the structural drawing set identified above. It identifies the seismic force-resisting system in each direction, checks the stated design basis against ASCE 7-22, traces a representative line of resistance in each direction link by link from the diaphragm to the soil, and individually traces every condition that differs from the typical line in a way that could affect the lateral load path.</w:t>
      </w:r>
    </w:p>
    <w:p>
      <w:pPr>
        <w:spacing w:after="160"/>
      </w:pPr>
      <w:r>
        <w:rPr>
          <w:sz w:val="21"/>
          <w:szCs w:val="21"/>
        </w:rPr>
        <w:t xml:space="preserve">[Summarize: SFRS in each direction and Table 12.2-1 row; SDC; diaphragm types; number of lines of resistance reviewed and number traced individually; headline findings grouped by type: broken/unconfirmed path, design-basis inconsistency, detailing non-conformance, reference gap.]</w:t>
      </w:r>
    </w:p>
    <w:p>
      <w:pPr>
        <w:spacing w:after="160"/>
      </w:pPr>
      <w:r>
        <w:rPr>
          <w:i/>
          <w:iCs/>
          <w:color w:val="595959"/>
          <w:sz w:val="20"/>
          <w:szCs w:val="20"/>
        </w:rPr>
        <w:t xml:space="preserve">Example: "The building uses light-frame wood shear walls (B.23) in both directions, SDC D. Of 9 lines of resistance, 6 matched the typical condition. Three conditions were traced individually. Four findings: one design-basis inconsistency (Ω₀), two broken or unconfirmed load path links (open-front diaphragm analysis; hold-down continuity at SW-6), and one reference gap (wind basis)."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28"/>
          <w:szCs w:val="28"/>
        </w:rPr>
        <w:t xml:space="preserve">Scope &amp; Limitations</w:t>
      </w:r>
    </w:p>
    <w:p>
      <w:pPr>
        <w:spacing w:after="160"/>
      </w:pPr>
      <w:r>
        <w:rPr>
          <w:sz w:val="21"/>
          <w:szCs w:val="21"/>
        </w:rPr>
        <w:t xml:space="preserve">This review covers the lateral load path, the stated seismic design basis, and system detailing, qualitatively. It does not cover: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Load magnitude, member sizing, or capacity checks. The review confirms the basis is stated and consistent, not that the numbers are right.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Wind load determination (ASCE 7-22 Chapters 26-31), unless noted. Where wind governs, the path is traced but the wind basis is not independently reviewed.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The gravity load path (see the gravity-load-path-qaqc review, if available).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Systems or conditions not covered by this skill's reference material. These are flagged individually as reference gaps.</w:t>
      </w:r>
    </w:p>
    <w:p>
      <w:pPr>
        <w:spacing w:after="160"/>
      </w:pPr>
      <w:r>
        <w:rPr>
          <w:sz w:val="21"/>
          <w:szCs w:val="21"/>
        </w:rPr>
        <w:t xml:space="preserve">Code basis: ASCE 7-22; ACI 318-19. Items tied to SDPWS-21, AISC 341/358, TMS 402, or IBC/CBC that are marked "verify" in the skill references are written as confirmation requests, not as findings. [List any sheets, calcs, or reports that were not available and how that limited the review.]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28"/>
          <w:szCs w:val="28"/>
        </w:rPr>
        <w:t xml:space="preserve">System Identification &amp; Design Basis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Lateral system, N-S: [system, Table 12.2-1 row, detailing level]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Lateral system, E-W: [system, Table 12.2-1 row, detailing level]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Diaphragms by level: [material; classification used in calcs]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Foundation: [type; geotech report reference and seismic items]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Supported heavy components / nonbuilding structures: [list]</w:t>
      </w:r>
    </w:p>
    <w:p>
      <w:pPr>
        <w:pStyle w:val="Heading2"/>
        <w:spacing w:after="120" w:before="240"/>
      </w:pPr>
      <w:r>
        <w:rPr>
          <w:b/>
          <w:bCs/>
          <w:color w:val="1F3864"/>
          <w:sz w:val="24"/>
          <w:szCs w:val="24"/>
        </w:rPr>
        <w:t xml:space="preserve">Design Basis: Stated vs. Expected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3680"/>
        <w:gridCol w:w="1400"/>
      </w:tblGrid>
      <w:tr>
        <w:trPr>
          <w:cantSplit/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Stated on Drawings / Calcs</w:t>
            </w:r>
          </w:p>
        </w:tc>
        <w:tc>
          <w:tcPr>
            <w:tcW w:type="dxa" w:w="368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per ASCE 7-22</w:t>
            </w:r>
          </w:p>
        </w:tc>
        <w:tc>
          <w:tcPr>
            <w:tcW w:type="dxa" w:w="1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Risk Category / I_e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[e.g. II / 1.0]</w:t>
            </w:r>
          </w:p>
        </w:tc>
        <w:tc>
          <w:tcPr>
            <w:tcW w:type="dxa" w:w="36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Per IBC Table 1604.5 and ASCE 7-22 Table 1.5-2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[OK / Flag]</w:t>
            </w:r>
          </w:p>
        </w:tc>
      </w:tr>
      <w:tr>
        <w:trPr>
          <w:cantSplit/>
        </w:trPr>
        <w:tc>
          <w:tcPr>
            <w:tcW w:type="dxa" w:w="2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Site Class; S_DS, S_D1</w:t>
            </w:r>
          </w:p>
        </w:tc>
        <w:tc>
          <w:tcPr>
            <w:tcW w:type="dxa" w:w="28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[e.g. D (default); 1.12, 0.64]</w:t>
            </w:r>
          </w:p>
        </w:tc>
        <w:tc>
          <w:tcPr>
            <w:tcW w:type="dxa" w:w="368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Geodatabase values for the stated site class; default site per §11.4.3</w:t>
            </w:r>
          </w:p>
        </w:tc>
        <w:tc>
          <w:tcPr>
            <w:tcW w:type="dxa" w:w="1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[OK / Flag]</w:t>
            </w:r>
          </w:p>
        </w:tc>
      </w:tr>
      <w:tr>
        <w:trPr>
          <w:cantSplit/>
        </w:trP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SDC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[e.g. D]</w:t>
            </w:r>
          </w:p>
        </w:tc>
        <w:tc>
          <w:tcPr>
            <w:tcW w:type="dxa" w:w="36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Tables 11.6-1/11.6-2; S1 ≥ 0.75 override (E/F)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[OK / Flag]</w:t>
            </w:r>
          </w:p>
        </w:tc>
      </w:tr>
      <w:tr>
        <w:trPr>
          <w:cantSplit/>
        </w:trPr>
        <w:tc>
          <w:tcPr>
            <w:tcW w:type="dxa" w:w="2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SFRS (each direction) and Table 12.2-1 row</w:t>
            </w:r>
          </w:p>
        </w:tc>
        <w:tc>
          <w:tcPr>
            <w:tcW w:type="dxa" w:w="28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[e.g. N-S and E-W: B.23 light-frame wood WSP walls]</w:t>
            </w:r>
          </w:p>
        </w:tc>
        <w:tc>
          <w:tcPr>
            <w:tcW w:type="dxa" w:w="368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Permitted in the SDC; within the height limit</w:t>
            </w:r>
          </w:p>
        </w:tc>
        <w:tc>
          <w:tcPr>
            <w:tcW w:type="dxa" w:w="1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[OK / Flag]</w:t>
            </w:r>
          </w:p>
        </w:tc>
      </w:tr>
      <w:tr>
        <w:trPr>
          <w:cantSplit/>
        </w:trP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 / Ω₀ / C_d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[e.g. 7 / 2.5 / 4.5]</w:t>
            </w:r>
          </w:p>
        </w:tc>
        <w:tc>
          <w:tcPr>
            <w:tcW w:type="dxa" w:w="36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All three from the same row; flexible-diaphragm Ω₀ reduction applied correctly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[OK / Flag]</w:t>
            </w:r>
          </w:p>
        </w:tc>
      </w:tr>
      <w:tr>
        <w:trPr>
          <w:cantSplit/>
        </w:trPr>
        <w:tc>
          <w:tcPr>
            <w:tcW w:type="dxa" w:w="2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ρ (each direction)</w:t>
            </w:r>
          </w:p>
        </w:tc>
        <w:tc>
          <w:tcPr>
            <w:tcW w:type="dxa" w:w="28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[e.g. 1.0 / 1.3]</w:t>
            </w:r>
          </w:p>
        </w:tc>
        <w:tc>
          <w:tcPr>
            <w:tcW w:type="dxa" w:w="368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§12.3.4 conditions shown</w:t>
            </w:r>
          </w:p>
        </w:tc>
        <w:tc>
          <w:tcPr>
            <w:tcW w:type="dxa" w:w="1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[OK / Flag]</w:t>
            </w:r>
          </w:p>
        </w:tc>
      </w:tr>
      <w:tr>
        <w:trPr>
          <w:cantSplit/>
        </w:trP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Irregularities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[e.g. Type 1a torsional, Type 4 out-of-plane offset at Level 2]</w:t>
            </w:r>
          </w:p>
        </w:tc>
        <w:tc>
          <w:tcPr>
            <w:tcW w:type="dxa" w:w="36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Consequences applied (3D model, Ω₀ on supporting elements, 25% increase)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[OK / Flag]</w:t>
            </w:r>
          </w:p>
        </w:tc>
      </w:tr>
      <w:tr>
        <w:trPr>
          <w:cantSplit/>
        </w:trPr>
        <w:tc>
          <w:tcPr>
            <w:tcW w:type="dxa" w:w="2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Diaphragm classification</w:t>
            </w:r>
          </w:p>
        </w:tc>
        <w:tc>
          <w:tcPr>
            <w:tcW w:type="dxa" w:w="28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[e.g. roof: flexible; Level 2: semirigid envelope]</w:t>
            </w:r>
          </w:p>
        </w:tc>
        <w:tc>
          <w:tcPr>
            <w:tcW w:type="dxa" w:w="368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§12.3.1; semirigid default; open-front never flexible</w:t>
            </w:r>
          </w:p>
        </w:tc>
        <w:tc>
          <w:tcPr>
            <w:tcW w:type="dxa" w:w="1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[OK / Flag]</w:t>
            </w:r>
          </w:p>
        </w:tc>
      </w:tr>
      <w:tr>
        <w:trPr>
          <w:cantSplit/>
        </w:trP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Analysis procedure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[e.g. ELF]</w:t>
            </w:r>
          </w:p>
        </w:tc>
        <w:tc>
          <w:tcPr>
            <w:tcW w:type="dxa" w:w="36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Permitted per Table 12.6-1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[OK / Flag]</w:t>
            </w:r>
          </w:p>
        </w:tc>
      </w:tr>
      <w:tr>
        <w:trPr>
          <w:cantSplit/>
        </w:trPr>
        <w:tc>
          <w:tcPr>
            <w:tcW w:type="dxa" w:w="2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Base shear / C_s</w:t>
            </w:r>
          </w:p>
        </w:tc>
        <w:tc>
          <w:tcPr>
            <w:tcW w:type="dxa" w:w="28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[e.g. 0.175W]</w:t>
            </w:r>
          </w:p>
        </w:tc>
        <w:tc>
          <w:tcPr>
            <w:tcW w:type="dxa" w:w="368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Within C_s limits; matches calcs</w:t>
            </w:r>
          </w:p>
        </w:tc>
        <w:tc>
          <w:tcPr>
            <w:tcW w:type="dxa" w:w="1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[OK / Flag]</w:t>
            </w:r>
          </w:p>
        </w:tc>
      </w:tr>
      <w:tr>
        <w:trPr>
          <w:cantSplit/>
        </w:trP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Drift limit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[e.g. 0.020h_sx]</w:t>
            </w:r>
          </w:p>
        </w:tc>
        <w:tc>
          <w:tcPr>
            <w:tcW w:type="dxa" w:w="36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Table 12.12-1 for RC and system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[OK / Flag]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28"/>
          <w:szCs w:val="28"/>
        </w:rPr>
        <w:t xml:space="preserve">Load Path Trace</w:t>
      </w:r>
    </w:p>
    <w:p>
      <w:pPr>
        <w:pStyle w:val="Heading2"/>
        <w:spacing w:after="120" w:before="240"/>
      </w:pPr>
      <w:r>
        <w:rPr>
          <w:b/>
          <w:bCs/>
          <w:color w:val="1F3864"/>
          <w:sz w:val="24"/>
          <w:szCs w:val="24"/>
        </w:rPr>
        <w:t xml:space="preserve">Typical Line of Resistance, [Direction]: Full Trace</w:t>
      </w:r>
    </w:p>
    <w:p>
      <w:pPr>
        <w:spacing w:after="160"/>
      </w:pPr>
      <w:r>
        <w:rPr>
          <w:sz w:val="21"/>
          <w:szCs w:val="21"/>
        </w:rPr>
        <w:t xml:space="preserve">Representative condition: [e.g. "Shear wall lines 2, 4, 6 (N-S), typical interior wall SW-6"]. Traced in full below. Every other line in this direction was compared against it. Repeat this section for the other principal direction.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300"/>
        <w:gridCol w:w="2700"/>
        <w:gridCol w:w="1000"/>
        <w:gridCol w:w="2380"/>
      </w:tblGrid>
      <w:tr>
        <w:trPr>
          <w:cantSplit/>
          <w:tblHeader/>
        </w:trPr>
        <w:tc>
          <w:tcPr>
            <w:tcW w:type="dxa" w:w="1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Link</w:t>
            </w:r>
          </w:p>
        </w:tc>
        <w:tc>
          <w:tcPr>
            <w:tcW w:type="dxa" w:w="2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2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Mechanism / Force Direction</w:t>
            </w:r>
          </w:p>
        </w:tc>
        <w:tc>
          <w:tcPr>
            <w:tcW w:type="dxa" w:w="1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Verified?</w:t>
            </w:r>
          </w:p>
        </w:tc>
        <w:tc>
          <w:tcPr>
            <w:tcW w:type="dxa" w:w="238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 / Flags</w:t>
            </w:r>
          </w:p>
        </w:tc>
      </w:tr>
      <w:tr>
        <w:trPr>
          <w:cantSplit/>
        </w:trPr>
        <w:tc>
          <w:tcPr>
            <w:tcW w:type="dxa" w:w="1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 Load into diaphragm</w:t>
            </w:r>
          </w:p>
        </w:tc>
        <w:tc>
          <w:tcPr>
            <w:tcW w:type="dxa" w:w="2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Roof WSP sheathing; CMU parapet wall out-of-plane</w:t>
            </w:r>
          </w:p>
        </w:tc>
        <w:tc>
          <w:tcPr>
            <w:tcW w:type="dxa" w:w="2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Wall anchorage strap to continuous crosstie (subdiaphragm), per 5/S-501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23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Anchorage force basis F_p with k_a stated in calcs? [confirm]</w:t>
            </w:r>
          </w:p>
        </w:tc>
      </w:tr>
      <w:tr>
        <w:trPr>
          <w:cantSplit/>
        </w:trPr>
        <w:tc>
          <w:tcPr>
            <w:tcW w:type="dxa" w:w="17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 Across diaphragm / chords</w:t>
            </w:r>
          </w:p>
        </w:tc>
        <w:tc>
          <w:tcPr>
            <w:tcW w:type="dxa" w:w="23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15/32" WSP, blocked, 10d @ 4" boundary; double top plate chord</w:t>
            </w:r>
          </w:p>
        </w:tc>
        <w:tc>
          <w:tcPr>
            <w:tcW w:type="dxa" w:w="27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Edge nailing per diaphragm schedule; top-plate splices with strap</w:t>
            </w:r>
          </w:p>
        </w:tc>
        <w:tc>
          <w:tcPr>
            <w:tcW w:type="dxa" w:w="10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238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Chord splice detail 8/S-502 shown at every splice location.</w:t>
            </w:r>
          </w:p>
        </w:tc>
      </w:tr>
      <w:tr>
        <w:trPr>
          <w:cantSplit/>
        </w:trPr>
        <w:tc>
          <w:tcPr>
            <w:tcW w:type="dxa" w:w="1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3. Into vertical element</w:t>
            </w:r>
          </w:p>
        </w:tc>
        <w:tc>
          <w:tcPr>
            <w:tcW w:type="dxa" w:w="2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Drag strut along Grid 3 (wall shorter than diaphragm depth)</w:t>
            </w:r>
          </w:p>
        </w:tc>
        <w:tc>
          <w:tcPr>
            <w:tcW w:type="dxa" w:w="2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Strap-spliced top plates, sheathing edge-nailed into strut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Verify</w:t>
            </w:r>
          </w:p>
        </w:tc>
        <w:tc>
          <w:tcPr>
            <w:tcW w:type="dxa" w:w="23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Collector force level not stated (light-frame wood exception may apply, §12.10.2.1).</w:t>
            </w:r>
          </w:p>
        </w:tc>
      </w:tr>
      <w:tr>
        <w:trPr>
          <w:cantSplit/>
        </w:trPr>
        <w:tc>
          <w:tcPr>
            <w:tcW w:type="dxa" w:w="17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4. Down the element (each story)</w:t>
            </w:r>
          </w:p>
        </w:tc>
        <w:tc>
          <w:tcPr>
            <w:tcW w:type="dxa" w:w="23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Shear wall SW-6 Levels 2 and 1</w:t>
            </w:r>
          </w:p>
        </w:tc>
        <w:tc>
          <w:tcPr>
            <w:tcW w:type="dxa" w:w="27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Sheathing nailing per shear wall schedule; floor-to-floor via rim and blocking nailing and sill shear nailing</w:t>
            </w:r>
          </w:p>
        </w:tc>
        <w:tc>
          <w:tcPr>
            <w:tcW w:type="dxa" w:w="10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238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Stacks over SW-6 below; no offset.</w:t>
            </w:r>
          </w:p>
        </w:tc>
      </w:tr>
      <w:tr>
        <w:trPr>
          <w:cantSplit/>
        </w:trPr>
        <w:tc>
          <w:tcPr>
            <w:tcW w:type="dxa" w:w="1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5. Overturning path</w:t>
            </w:r>
          </w:p>
        </w:tc>
        <w:tc>
          <w:tcPr>
            <w:tcW w:type="dxa" w:w="2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Hold-down HD-1 at each end; 4x posts</w:t>
            </w:r>
          </w:p>
        </w:tc>
        <w:tc>
          <w:tcPr>
            <w:tcW w:type="dxa" w:w="2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Floor-to-floor strap at Level 2; HD anchor to footing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23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Hold-down at the north end of Level 2 lands on the floor beam, not on a post below. See Finding 3.</w:t>
            </w:r>
          </w:p>
        </w:tc>
      </w:tr>
      <w:tr>
        <w:trPr>
          <w:cantSplit/>
        </w:trPr>
        <w:tc>
          <w:tcPr>
            <w:tcW w:type="dxa" w:w="17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6. Base anchorage</w:t>
            </w:r>
          </w:p>
        </w:tc>
        <w:tc>
          <w:tcPr>
            <w:tcW w:type="dxa" w:w="23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Sill plate; 5/8" anchor bolts @ 32" with 3"x3" plate washers</w:t>
            </w:r>
          </w:p>
        </w:tc>
        <w:tc>
          <w:tcPr>
            <w:tcW w:type="dxa" w:w="27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Anchor bolts in shear; HD anchor in tension</w:t>
            </w:r>
          </w:p>
        </w:tc>
        <w:tc>
          <w:tcPr>
            <w:tcW w:type="dxa" w:w="10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238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Per 3/S-401.</w:t>
            </w:r>
          </w:p>
        </w:tc>
      </w:tr>
      <w:tr>
        <w:trPr>
          <w:cantSplit/>
        </w:trPr>
        <w:tc>
          <w:tcPr>
            <w:tcW w:type="dxa" w:w="1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7. Foundation / soil</w:t>
            </w:r>
          </w:p>
        </w:tc>
        <w:tc>
          <w:tcPr>
            <w:tcW w:type="dxa" w:w="2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Continuous footing F-2</w:t>
            </w:r>
          </w:p>
        </w:tc>
        <w:tc>
          <w:tcPr>
            <w:tcW w:type="dxa" w:w="2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Overturning by footing and soil bearing; sliding by friction and passive per geotech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Verify</w:t>
            </w:r>
          </w:p>
        </w:tc>
        <w:tc>
          <w:tcPr>
            <w:tcW w:type="dxa" w:w="23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Geotech friction and passive values cited in calcs? [confirm]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240"/>
      </w:pPr>
      <w:r>
        <w:rPr>
          <w:b/>
          <w:bCs/>
          <w:color w:val="1F3864"/>
          <w:sz w:val="24"/>
          <w:szCs w:val="24"/>
        </w:rPr>
        <w:t xml:space="preserve">Atypical Conditions: Individually Traced</w:t>
      </w:r>
    </w:p>
    <w:p>
      <w:pPr>
        <w:spacing w:after="160"/>
      </w:pPr>
      <w:r>
        <w:rPr>
          <w:sz w:val="21"/>
          <w:szCs w:val="21"/>
        </w:rPr>
        <w:t xml:space="preserve">The following conditions differed from the typical line in a way that could affect the lateral load path and were traced individually. Lines not listed matched the typical condition.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000"/>
        <w:gridCol w:w="2700"/>
        <w:gridCol w:w="1000"/>
        <w:gridCol w:w="2080"/>
      </w:tblGrid>
      <w:tr>
        <w:trPr>
          <w:cantSplit/>
          <w:tblHeader/>
        </w:trPr>
        <w:tc>
          <w:tcPr>
            <w:tcW w:type="dxa" w:w="2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Condition / Location</w:t>
            </w:r>
          </w:p>
        </w:tc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2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Mechanism / Required Basis</w:t>
            </w:r>
          </w:p>
        </w:tc>
        <w:tc>
          <w:tcPr>
            <w:tcW w:type="dxa" w:w="1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Verified?</w:t>
            </w:r>
          </w:p>
        </w:tc>
        <w:tc>
          <w:tcPr>
            <w:tcW w:type="dxa" w:w="208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 / Flags</w:t>
            </w:r>
          </w:p>
        </w:tc>
      </w:tr>
      <w:tr>
        <w:trPr>
          <w:cantSplit/>
        </w:trPr>
        <w:tc>
          <w:tcPr>
            <w:tcW w:type="dxa" w:w="2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Grid C Level 2: discontinuous wall (out-of-plane offset, Type 4)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Wall above supported on beam B-12 and posts</w:t>
            </w:r>
          </w:p>
        </w:tc>
        <w:tc>
          <w:tcPr>
            <w:tcW w:type="dxa" w:w="2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Beam and posts designed with Ω₀ (§12.3.3.4)?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Verify</w:t>
            </w:r>
          </w:p>
        </w:tc>
        <w:tc>
          <w:tcPr>
            <w:tcW w:type="dxa" w:w="20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Calcs not provided for B-12; flag.</w:t>
            </w:r>
          </w:p>
        </w:tc>
      </w:tr>
      <w:tr>
        <w:trPr>
          <w:cantSplit/>
        </w:trPr>
        <w:tc>
          <w:tcPr>
            <w:tcW w:type="dxa" w:w="23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Grid 1: open-front line (no walls)</w:t>
            </w:r>
          </w:p>
        </w:tc>
        <w:tc>
          <w:tcPr>
            <w:tcW w:type="dxa" w:w="20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Diaphragm cantilevers to Grid 2</w:t>
            </w:r>
          </w:p>
        </w:tc>
        <w:tc>
          <w:tcPr>
            <w:tcW w:type="dxa" w:w="27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Diaphragm analyzed as semirigid / rigid; torsion distributed to cross walls</w:t>
            </w:r>
          </w:p>
        </w:tc>
        <w:tc>
          <w:tcPr>
            <w:tcW w:type="dxa" w:w="10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208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Calcs treat roof as flexible at the open front. See Finding 2.</w:t>
            </w:r>
          </w:p>
        </w:tc>
      </w:tr>
      <w:tr>
        <w:trPr>
          <w:cantSplit/>
        </w:trPr>
        <w:tc>
          <w:tcPr>
            <w:tcW w:type="dxa" w:w="2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Rooftop unit RTU-1 (2,500 lb)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Curb to roof framing</w:t>
            </w:r>
          </w:p>
        </w:tc>
        <w:tc>
          <w:tcPr>
            <w:tcW w:type="dxa" w:w="2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Anchorage to curb and curb to framing for F_p (Ch. 13)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Verify</w:t>
            </w:r>
          </w:p>
        </w:tc>
        <w:tc>
          <w:tcPr>
            <w:tcW w:type="dxa" w:w="20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Anchorage detail references the manufacturer; no F_p basis shown.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28"/>
          <w:szCs w:val="28"/>
        </w:rPr>
        <w:t xml:space="preserve">Findings</w:t>
      </w:r>
    </w:p>
    <w:p>
      <w:pPr>
        <w:spacing w:after="160"/>
      </w:pPr>
      <w:r>
        <w:rPr>
          <w:sz w:val="21"/>
          <w:szCs w:val="21"/>
        </w:rPr>
        <w:t xml:space="preserve">[Number every finding and tag its type. Rank by impact on the load path: broken or unconfirmed links first, then design-basis inconsistencies, detailing non-conformances, and reference gaps. Give the location, sheet reference, governing code section, and a recommended action (RFI, revise, provide calc, field verify).]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1700"/>
        <w:gridCol w:w="2500"/>
        <w:gridCol w:w="1700"/>
        <w:gridCol w:w="1980"/>
      </w:tblGrid>
      <w:tr>
        <w:trPr>
          <w:cantSplit/>
          <w:tblHeader/>
        </w:trPr>
        <w:tc>
          <w:tcPr>
            <w:tcW w:type="dxa" w:w="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Location / Sheet</w:t>
            </w:r>
          </w:p>
        </w:tc>
        <w:tc>
          <w:tcPr>
            <w:tcW w:type="dxa" w:w="2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1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Code Reference</w:t>
            </w:r>
          </w:p>
        </w:tc>
        <w:tc>
          <w:tcPr>
            <w:tcW w:type="dxa" w:w="198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  <w:tr>
        <w:trPr>
          <w:cantSplit/>
        </w:trPr>
        <w:tc>
          <w:tcPr>
            <w:tcW w:type="dxa" w:w="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Design-basis inconsistency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General notes, S-001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Ω₀ listed as 3.0 with system B.23 (Ω₀ = 2.5).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ASCE 7-22 Table 12.2-1</w:t>
            </w:r>
          </w:p>
        </w:tc>
        <w:tc>
          <w:tcPr>
            <w:tcW w:type="dxa" w:w="19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Correct Ω₀; confirm collector and anchorage forces used the right value.</w:t>
            </w:r>
          </w:p>
        </w:tc>
      </w:tr>
      <w:tr>
        <w:trPr>
          <w:cantSplit/>
        </w:trPr>
        <w:tc>
          <w:tcPr>
            <w:tcW w:type="dxa" w:w="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Broken / unconfirmed path</w:t>
            </w:r>
          </w:p>
        </w:tc>
        <w:tc>
          <w:tcPr>
            <w:tcW w:type="dxa" w:w="17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Roof, Grid 1 open front</w:t>
            </w:r>
          </w:p>
        </w:tc>
        <w:tc>
          <w:tcPr>
            <w:tcW w:type="dxa" w:w="25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Open-front diaphragm analyzed as flexible.</w:t>
            </w:r>
          </w:p>
        </w:tc>
        <w:tc>
          <w:tcPr>
            <w:tcW w:type="dxa" w:w="17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§12.3.1 (project standard: never flexible)</w:t>
            </w:r>
          </w:p>
        </w:tc>
        <w:tc>
          <w:tcPr>
            <w:tcW w:type="dxa" w:w="198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Reanalyze as semirigid or rigid, including torsion to the cross walls.</w:t>
            </w:r>
          </w:p>
        </w:tc>
      </w:tr>
      <w:tr>
        <w:trPr>
          <w:cantSplit/>
        </w:trPr>
        <w:tc>
          <w:tcPr>
            <w:tcW w:type="dxa" w:w="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Broken / unconfirmed path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SW-6 north end, Level 2 to Level 1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Hold-down tension path not continuous to the foundation.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Overturning load path</w:t>
            </w:r>
          </w:p>
        </w:tc>
        <w:tc>
          <w:tcPr>
            <w:tcW w:type="dxa" w:w="19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Provide a post and strap or rod continuous to the footing, or revise the wall.</w:t>
            </w:r>
          </w:p>
        </w:tc>
      </w:tr>
      <w:tr>
        <w:trPr>
          <w:cantSplit/>
        </w:trPr>
        <w:tc>
          <w:tcPr>
            <w:tcW w:type="dxa" w:w="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Reference gap</w:t>
            </w:r>
          </w:p>
        </w:tc>
        <w:tc>
          <w:tcPr>
            <w:tcW w:type="dxa" w:w="17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Building-wide</w:t>
            </w:r>
          </w:p>
        </w:tc>
        <w:tc>
          <w:tcPr>
            <w:tcW w:type="dxa" w:w="25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Wind governs E-W base shear; wind basis not reviewed by this skill.</w:t>
            </w:r>
          </w:p>
        </w:tc>
        <w:tc>
          <w:tcPr>
            <w:tcW w:type="dxa" w:w="17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ASCE 7-22 Ch. 26-28</w:t>
            </w:r>
          </w:p>
        </w:tc>
        <w:tc>
          <w:tcPr>
            <w:tcW w:type="dxa" w:w="198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Separate wind review.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28"/>
          <w:szCs w:val="28"/>
        </w:rPr>
        <w:t xml:space="preserve">Appendix</w:t>
      </w:r>
    </w:p>
    <w:p>
      <w:pPr>
        <w:pStyle w:val="Heading2"/>
        <w:spacing w:after="120" w:before="240"/>
      </w:pPr>
      <w:r>
        <w:rPr>
          <w:b/>
          <w:bCs/>
          <w:color w:val="1F3864"/>
          <w:sz w:val="24"/>
          <w:szCs w:val="24"/>
        </w:rPr>
        <w:t xml:space="preserve">Details and Schedules Relied On</w:t>
      </w:r>
    </w:p>
    <w:p>
      <w:pPr>
        <w:spacing w:after="160"/>
      </w:pPr>
      <w:r>
        <w:rPr>
          <w:sz w:val="21"/>
          <w:szCs w:val="21"/>
        </w:rPr>
        <w:t xml:space="preserve">[List the project-specific details and schedules used for each link, and any typical or standard detail relied on where no project-specific one exists.]</w:t>
      </w:r>
    </w:p>
    <w:p>
      <w:pPr>
        <w:pStyle w:val="Heading2"/>
        <w:spacing w:after="120" w:before="240"/>
      </w:pPr>
      <w:r>
        <w:rPr>
          <w:b/>
          <w:bCs/>
          <w:color w:val="1F3864"/>
          <w:sz w:val="24"/>
          <w:szCs w:val="24"/>
        </w:rPr>
        <w:t xml:space="preserve">Items to Confirm Against Material Standards</w:t>
      </w:r>
    </w:p>
    <w:p>
      <w:pPr>
        <w:spacing w:after="160"/>
      </w:pPr>
      <w:r>
        <w:rPr>
          <w:sz w:val="21"/>
          <w:szCs w:val="21"/>
        </w:rPr>
        <w:t xml:space="preserve">[List the "verify" items: requirements the skill's references draw from SDPWS-21, AISC 341/358, TMS 402, NDS, or IBC/CBC that should be confirmed against the governing document before being treated as findings.]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2"/>
      </w:pBdr>
      <w:tabs>
        <w:tab w:val="right" w:pos="9026"/>
      </w:tabs>
    </w:pPr>
    <w:r>
      <w:rPr>
        <w:color w:val="595959"/>
        <w:sz w:val="16"/>
        <w:szCs w:val="16"/>
      </w:rPr>
      <w:t xml:space="preserve">Lateral Load Path QA/QC Report</w:t>
    </w:r>
    <w:r>
      <w:rPr>
        <w:color w:val="595959"/>
        <w:sz w:val="16"/>
        <w:szCs w:val="16"/>
      </w:rPr>
      <w:t xml:space="preserve">	[PROJECT NAME]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2026-10-02T01:03:30.693Z</dcterms:created>
  <dcterms:modified xsi:type="dcterms:W3CDTF">2026-10-02T01:03:30.694Z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