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operations note</w:t>
      </w:r>
    </w:p>
    <w:p>
      <w:r>
        <w:t>Exact quotation: “Preserve this wording.”</w:t>
      </w:r>
    </w:p>
    <w:p>
      <w:r>
        <w:t>A measured draft, not an approved decision.</w:t>
      </w:r>
    </w:p>
    <w:p>
      <w:r>
        <w:t>Human annotation: Human annotation: protect this exact sentence.</w:t>
      </w:r>
    </w:p>
    <w:p>
      <w:r>
        <w:t>OMITTED: Rich formatting, layout, comments, tracked changes, drawings and embedded objects are not preserved.</w:t>
      </w:r>
    </w:p>
    <w:p>
      <w:r>
        <w:t>OMITTED: No OCR or vision was performed; PDF imports use only the text layer.</w:t>
      </w:r>
    </w:p>
    <w:p>
      <w:r>
        <w:t>OMITTED: Tables, merged cells, date formatting, headers and footers are simplified or omitted; dates become ISO text. XLSX numbers use spreadsheet numeric precision; caches are omitted from exported XLSX.</w:t>
      </w:r>
    </w:p>
    <w:p>
      <w:r>
        <w:t>OMITTED: Formulas are not evaluated; caches are imported or user-supplied observations, never computed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