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4B3E" w14:textId="788BDB76" w:rsidR="006D23F8" w:rsidRDefault="008E3BA8">
      <w:r>
        <w:t>One conclusion that can be drawn from the data is that charter schools produce higher average test scores than districts schools in both math and reading.</w:t>
      </w:r>
    </w:p>
    <w:p w14:paraId="286F4078" w14:textId="7A384817" w:rsidR="008E3BA8" w:rsidRDefault="008E3BA8">
      <w:r>
        <w:t>Another conclusion that can be drawn is that math and reading scores vary minimally across grade level in the same school.</w:t>
      </w:r>
    </w:p>
    <w:sectPr w:rsidR="008E3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68"/>
    <w:rsid w:val="00147C68"/>
    <w:rsid w:val="006D23F8"/>
    <w:rsid w:val="008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E627"/>
  <w15:chartTrackingRefBased/>
  <w15:docId w15:val="{2652810D-568C-49AC-9F15-BEE87EDB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Lindsey, Austin Philip</dc:creator>
  <cp:keywords/>
  <dc:description/>
  <cp:lastModifiedBy>Lindsey, Austin Philip</cp:lastModifiedBy>
  <cp:revision>2</cp:revision>
  <dcterms:created xsi:type="dcterms:W3CDTF">2022-04-11T06:18:00Z</dcterms:created>
  <dcterms:modified xsi:type="dcterms:W3CDTF">2022-04-11T06:20:00Z</dcterms:modified>
</cp:coreProperties>
</file>