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4E5F"/>
          <w:sz w:val="30"/>
        </w:rPr>
        <w:t>MANUAL DO SISTEMA DE GESTÃO AMBIENTAL — ÂMBITO E ESTRUTURA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val="clear" w:color="auto" w:fill="DCEBEF"/>
          </w:tcPr>
          <w:p>
            <w:r>
              <w:rPr>
                <w:b/>
                <w:sz w:val="16"/>
              </w:rPr>
              <w:t>Código</w:t>
            </w:r>
          </w:p>
        </w:tc>
        <w:tc>
          <w:tcPr>
            <w:tcW w:type="dxa" w:w="1662"/>
            <w:shd w:val="clear" w:color="auto" w:fill="DCEBEF"/>
          </w:tcPr>
          <w:p>
            <w:r>
              <w:rPr>
                <w:b/>
                <w:sz w:val="16"/>
              </w:rPr>
              <w:t>Versão</w:t>
            </w:r>
          </w:p>
        </w:tc>
        <w:tc>
          <w:tcPr>
            <w:tcW w:type="dxa" w:w="1662"/>
            <w:shd w:val="clear" w:color="auto" w:fill="DCEBEF"/>
          </w:tcPr>
          <w:p>
            <w:r>
              <w:rPr>
                <w:b/>
                <w:sz w:val="16"/>
              </w:rPr>
              <w:t>Data de aprovação</w:t>
            </w:r>
          </w:p>
        </w:tc>
        <w:tc>
          <w:tcPr>
            <w:tcW w:type="dxa" w:w="1662"/>
            <w:shd w:val="clear" w:color="auto" w:fill="DCEBEF"/>
          </w:tcPr>
          <w:p>
            <w:r>
              <w:rPr>
                <w:b/>
                <w:sz w:val="16"/>
              </w:rPr>
              <w:t>Elaborado por</w:t>
            </w:r>
          </w:p>
        </w:tc>
        <w:tc>
          <w:tcPr>
            <w:tcW w:type="dxa" w:w="1662"/>
            <w:shd w:val="clear" w:color="auto" w:fill="DCEBEF"/>
          </w:tcPr>
          <w:p>
            <w:r>
              <w:rPr>
                <w:b/>
                <w:sz w:val="16"/>
              </w:rPr>
              <w:t>Aprovado por</w:t>
            </w:r>
          </w:p>
        </w:tc>
        <w:tc>
          <w:tcPr>
            <w:tcW w:type="dxa" w:w="1662"/>
            <w:shd w:val="clear" w:color="auto" w:fill="DCEBEF"/>
          </w:tcPr>
          <w:p>
            <w:r>
              <w:rPr>
                <w:b/>
                <w:sz w:val="16"/>
              </w:rPr>
              <w:t>Estado</w:t>
            </w:r>
          </w:p>
        </w:tc>
      </w:tr>
      <w:tr>
        <w:tc>
          <w:tcPr>
            <w:tcW w:type="dxa" w:w="1662"/>
          </w:tcPr>
          <w:p>
            <w:r>
              <w:rPr>
                <w:sz w:val="16"/>
              </w:rPr>
              <w:t>MAN-SGA-01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00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2026-09-24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Gestor(a) do SGA / EHS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Diretor Geral</w:t>
            </w:r>
          </w:p>
        </w:tc>
        <w:tc>
          <w:tcPr>
            <w:tcW w:type="dxa" w:w="1662"/>
          </w:tcPr>
          <w:p>
            <w:r>
              <w:rPr>
                <w:sz w:val="16"/>
              </w:rPr>
              <w:t>Em vigor</w:t>
            </w:r>
          </w:p>
        </w:tc>
      </w:tr>
    </w:tbl>
    <w:p/>
    <w:p>
      <w:pPr>
        <w:spacing w:before="160"/>
      </w:pPr>
      <w:r>
        <w:rPr>
          <w:b/>
          <w:color w:val="1F4E5F"/>
          <w:sz w:val="23"/>
        </w:rPr>
        <w:t>1. A organização</w:t>
      </w:r>
    </w:p>
    <w:p>
      <w:pPr>
        <w:spacing w:after="80"/>
      </w:pPr>
      <w:r>
        <w:t>Plasticom — Unidade 1 (Marinha Grande, Portugal): fabrico de embalagens plásticas (frascos por injeção-sopro ISBM, tampas e potes por injeção) decoradas por serigrafia e hot foil, para clientes de cosmética, alimentar e farmacêutica na UE. ≈ 150 trabalhadores em 3 turnos; processo 100% elétrico (≈ 7,8 GWh em 2026); ≈ 800 t/ano de produto. Estabelecimento industrial tipo 2 (SIR), em zona industrial a ≈ 250 m de habitações e próximo do Pinhal de Leiria.</w:t>
      </w:r>
    </w:p>
    <w:p>
      <w:pPr>
        <w:spacing w:before="160"/>
      </w:pPr>
      <w:r>
        <w:rPr>
          <w:b/>
          <w:color w:val="1F4E5F"/>
          <w:sz w:val="23"/>
        </w:rPr>
        <w:t>2. Âmbito do SGA (4.3)</w:t>
      </w:r>
    </w:p>
    <w:p>
      <w:pPr>
        <w:spacing w:after="80"/>
      </w:pPr>
      <w:r>
        <w:t>“Conceção, produção e decoração de embalagens plásticas (frascos, tampas e potes) por injeção, injeção-sopro, serigrafia e hot foil, incluindo armazenagem, expedição e os serviços de apoio da Unidade 1 da Plasticom, Marinha Grande.”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Elemento</w:t>
            </w:r>
          </w:p>
        </w:tc>
        <w:tc>
          <w:tcPr>
            <w:tcW w:type="dxa" w:w="6803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Determinação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Limites físicos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Terreno de 45.000 m² da Unidade 1 (edifícios, logradouro, parque de resíduos, silos, torre de arrefecimento).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Limites organizacionais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Todas as funções da Unidade 1; não inclui a sede comercial nem armazéns de clientes.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Atividades, produtos e serviços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Todos os processos da Dim_Processo (RG-SGA-00); sem exclusões.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Questões externas e internas (4.1)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RG-SGA-01 (PESTEL com as 5 condições ambientais: poluição, recursos, clima, biodiversidade, ecossistemas; SWOT; TOWS).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Obrigações de conformidade (4.2, 6.1.3)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RG-SGA-01 tbl_partes_interessadas e RG-SGA-04 tbl_legal.</w:t>
            </w:r>
          </w:p>
        </w:tc>
      </w:tr>
      <w:tr>
        <w:tc>
          <w:tcPr>
            <w:tcW w:type="dxa" w:w="2835"/>
          </w:tcPr>
          <w:p>
            <w:r>
              <w:rPr>
                <w:sz w:val="17"/>
              </w:rPr>
              <w:t>Controlo e influência sobre o ciclo de vida (4.3 e)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Controlo: produção, utilidades, resíduos, conceção. Influência: fornecedores de polímero e PCR, transporte, uso pelo cliente e fim de vida (tbl_outros_fornecedores, tbl_fornecedores).</w:t>
            </w:r>
          </w:p>
        </w:tc>
      </w:tr>
    </w:tbl>
    <w:p/>
    <w:p>
      <w:pPr>
        <w:spacing w:after="80"/>
      </w:pPr>
      <w:r>
        <w:t>O âmbito está disponível às partes interessadas (site institucional e a pedido) como informação documentada.</w:t>
      </w:r>
    </w:p>
    <w:p>
      <w:pPr>
        <w:spacing w:before="160"/>
      </w:pPr>
      <w:r>
        <w:rPr>
          <w:b/>
          <w:color w:val="1F4E5F"/>
          <w:sz w:val="23"/>
        </w:rPr>
        <w:t>3. Política ambiental (5.2)</w:t>
      </w:r>
    </w:p>
    <w:p>
      <w:pPr>
        <w:spacing w:after="80"/>
      </w:pPr>
      <w:r>
        <w:t>POL-SGA rev. 02 (19/06/2026), com 7 compromissos (RG-SGA-05 tbl_politica): proteger o ambiente e prevenir a poluição; cumprir as obrigações de conformidade; usar eficientemente energia, água e materiais e reduzir GEE; ciclo de vida; melhoria contínua com dados; biodiversidade e ecossistemas; envolvimento de trabalhadores, fornecedores e clientes.</w:t>
      </w:r>
    </w:p>
    <w:p>
      <w:pPr>
        <w:spacing w:before="160"/>
      </w:pPr>
      <w:r>
        <w:rPr>
          <w:b/>
          <w:color w:val="1F4E5F"/>
          <w:sz w:val="23"/>
        </w:rPr>
        <w:t>4. Liderança, funções e responsabilidades (5.1, 5.3)</w:t>
      </w:r>
    </w:p>
    <w:p>
      <w:pPr>
        <w:spacing w:after="80"/>
      </w:pPr>
      <w:r>
        <w:t>O Diretor Geral assume a responsabilização pela eficácia do SGA, assegura recursos e conduz a revisão pela gestão. O Gestor do SGA / EHS tem a autoridade para assegurar a conformidade do SGA com a ISO 14001:2026 e reportar o desempenho à gestão de topo. As responsabilidades por processo estão na matriz RACI (RG-SGA-08 tbl_raci), com um único aprovador por processo.</w:t>
      </w:r>
    </w:p>
    <w:p>
      <w:pPr>
        <w:spacing w:before="160"/>
      </w:pPr>
      <w:r>
        <w:rPr>
          <w:b/>
          <w:color w:val="1F4E5F"/>
          <w:sz w:val="23"/>
        </w:rPr>
        <w:t>5. Mapa de processos e interação</w:t>
      </w:r>
    </w:p>
    <w:p>
      <w:pPr>
        <w:spacing w:after="80"/>
      </w:pPr>
      <w:r>
        <w:t>Planear: contexto → partes interessadas → aspetos, obrigações, riscos e oportunidades → objetivos e alterações. Executar: competência, comunicação, documentação, controlo operacional, fornecedores externos, emergência. Verificar: monitorização, avaliação da conformidade, auditoria interna, revisão pela gestão. Agir: incidentes, NC e ação corretiva, melhoria contínua (Kaizen), dupla materialidade para priorizar.</w:t>
      </w:r>
    </w:p>
    <w:p>
      <w:pPr>
        <w:spacing w:before="160"/>
      </w:pPr>
      <w:r>
        <w:rPr>
          <w:b/>
          <w:color w:val="1F4E5F"/>
          <w:sz w:val="23"/>
        </w:rPr>
        <w:t>6. Correspondência cláusula → documento → registo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417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Cláusula</w:t>
            </w:r>
          </w:p>
        </w:tc>
        <w:tc>
          <w:tcPr>
            <w:tcW w:type="dxa" w:w="2835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Documento</w:t>
            </w:r>
          </w:p>
        </w:tc>
        <w:tc>
          <w:tcPr>
            <w:tcW w:type="dxa" w:w="5386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Registo / tabelas</w:t>
            </w:r>
          </w:p>
        </w:tc>
      </w:tr>
      <w:tr>
        <w:tc>
          <w:tcPr>
            <w:tcW w:type="dxa" w:w="1417"/>
          </w:tcPr>
          <w:p>
            <w:r>
              <w:rPr>
                <w:sz w:val="17"/>
              </w:rPr>
              <w:t>4.1 / 4.2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MAN-SGA-01; PR-SGA-02; PR-SGA-03</w:t>
            </w:r>
          </w:p>
        </w:tc>
        <w:tc>
          <w:tcPr>
            <w:tcW w:type="dxa" w:w="5386"/>
          </w:tcPr>
          <w:p>
            <w:r>
              <w:rPr>
                <w:sz w:val="17"/>
              </w:rPr>
              <w:t>RG-SGA-01 (tbl_pestel, tbl_swot, tbl_partes_interessadas); RG-SGA-17</w:t>
            </w:r>
          </w:p>
        </w:tc>
      </w:tr>
      <w:tr>
        <w:tc>
          <w:tcPr>
            <w:tcW w:type="dxa" w:w="1417"/>
          </w:tcPr>
          <w:p>
            <w:r>
              <w:rPr>
                <w:sz w:val="17"/>
              </w:rPr>
              <w:t>4.3 / 4.4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MAN-SGA-01</w:t>
            </w:r>
          </w:p>
        </w:tc>
        <w:tc>
          <w:tcPr>
            <w:tcW w:type="dxa" w:w="5386"/>
          </w:tcPr>
          <w:p>
            <w:r>
              <w:rPr>
                <w:sz w:val="17"/>
              </w:rPr>
              <w:t>RG-SGA-00 (índice e modelo de dados)</w:t>
            </w:r>
          </w:p>
        </w:tc>
      </w:tr>
      <w:tr>
        <w:tc>
          <w:tcPr>
            <w:tcW w:type="dxa" w:w="1417"/>
          </w:tcPr>
          <w:p>
            <w:r>
              <w:rPr>
                <w:sz w:val="17"/>
              </w:rPr>
              <w:t>5.1 / 5.2 / 5.3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POL-SGA; MAN-SGA-01</w:t>
            </w:r>
          </w:p>
        </w:tc>
        <w:tc>
          <w:tcPr>
            <w:tcW w:type="dxa" w:w="5386"/>
          </w:tcPr>
          <w:p>
            <w:r>
              <w:rPr>
                <w:sz w:val="17"/>
              </w:rPr>
              <w:t>RG-SGA-05 (tbl_politica); RG-SGA-08 (tbl_raci)</w:t>
            </w:r>
          </w:p>
        </w:tc>
      </w:tr>
      <w:tr>
        <w:tc>
          <w:tcPr>
            <w:tcW w:type="dxa" w:w="1417"/>
          </w:tcPr>
          <w:p>
            <w:r>
              <w:rPr>
                <w:sz w:val="17"/>
              </w:rPr>
              <w:t>6.1.2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PR-SGA-01</w:t>
            </w:r>
          </w:p>
        </w:tc>
        <w:tc>
          <w:tcPr>
            <w:tcW w:type="dxa" w:w="5386"/>
          </w:tcPr>
          <w:p>
            <w:r>
              <w:rPr>
                <w:sz w:val="17"/>
              </w:rPr>
              <w:t>RG-SGA-03</w:t>
            </w:r>
          </w:p>
        </w:tc>
      </w:tr>
      <w:tr>
        <w:tc>
          <w:tcPr>
            <w:tcW w:type="dxa" w:w="1417"/>
          </w:tcPr>
          <w:p>
            <w:r>
              <w:rPr>
                <w:sz w:val="17"/>
              </w:rPr>
              <w:t>6.1.3 / 9.1.2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PR-SGA-03</w:t>
            </w:r>
          </w:p>
        </w:tc>
        <w:tc>
          <w:tcPr>
            <w:tcW w:type="dxa" w:w="5386"/>
          </w:tcPr>
          <w:p>
            <w:r>
              <w:rPr>
                <w:sz w:val="17"/>
              </w:rPr>
              <w:t>RG-SGA-04; RG-SGA-13 (tbl_analises)</w:t>
            </w:r>
          </w:p>
        </w:tc>
      </w:tr>
      <w:tr>
        <w:tc>
          <w:tcPr>
            <w:tcW w:type="dxa" w:w="1417"/>
          </w:tcPr>
          <w:p>
            <w:r>
              <w:rPr>
                <w:sz w:val="17"/>
              </w:rPr>
              <w:t>6.1.4 / 6.1.5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PR-SGA-02</w:t>
            </w:r>
          </w:p>
        </w:tc>
        <w:tc>
          <w:tcPr>
            <w:tcW w:type="dxa" w:w="5386"/>
          </w:tcPr>
          <w:p>
            <w:r>
              <w:rPr>
                <w:sz w:val="17"/>
              </w:rPr>
              <w:t>RG-SGA-02; RG-SGA-06; RG-SGA-17</w:t>
            </w:r>
          </w:p>
        </w:tc>
      </w:tr>
      <w:tr>
        <w:tc>
          <w:tcPr>
            <w:tcW w:type="dxa" w:w="1417"/>
          </w:tcPr>
          <w:p>
            <w:r>
              <w:rPr>
                <w:sz w:val="17"/>
              </w:rPr>
              <w:t>6.2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PR-SGA-02</w:t>
            </w:r>
          </w:p>
        </w:tc>
        <w:tc>
          <w:tcPr>
            <w:tcW w:type="dxa" w:w="5386"/>
          </w:tcPr>
          <w:p>
            <w:r>
              <w:rPr>
                <w:sz w:val="17"/>
              </w:rPr>
              <w:t>RG-SGA-05</w:t>
            </w:r>
          </w:p>
        </w:tc>
      </w:tr>
      <w:tr>
        <w:tc>
          <w:tcPr>
            <w:tcW w:type="dxa" w:w="1417"/>
          </w:tcPr>
          <w:p>
            <w:r>
              <w:rPr>
                <w:sz w:val="17"/>
              </w:rPr>
              <w:t>6.3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PR-SGA-06</w:t>
            </w:r>
          </w:p>
        </w:tc>
        <w:tc>
          <w:tcPr>
            <w:tcW w:type="dxa" w:w="5386"/>
          </w:tcPr>
          <w:p>
            <w:r>
              <w:rPr>
                <w:sz w:val="17"/>
              </w:rPr>
              <w:t>RG-SGA-18</w:t>
            </w:r>
          </w:p>
        </w:tc>
      </w:tr>
      <w:tr>
        <w:tc>
          <w:tcPr>
            <w:tcW w:type="dxa" w:w="1417"/>
          </w:tcPr>
          <w:p>
            <w:r>
              <w:rPr>
                <w:sz w:val="17"/>
              </w:rPr>
              <w:t>7.1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PR-SGA-09</w:t>
            </w:r>
          </w:p>
        </w:tc>
        <w:tc>
          <w:tcPr>
            <w:tcW w:type="dxa" w:w="5386"/>
          </w:tcPr>
          <w:p>
            <w:r>
              <w:rPr>
                <w:sz w:val="17"/>
              </w:rPr>
              <w:t>RG-SGA-10 (tbl_manutencao_ambiental); RG-SGA-15 (recursos)</w:t>
            </w:r>
          </w:p>
        </w:tc>
      </w:tr>
      <w:tr>
        <w:tc>
          <w:tcPr>
            <w:tcW w:type="dxa" w:w="1417"/>
          </w:tcPr>
          <w:p>
            <w:r>
              <w:rPr>
                <w:sz w:val="17"/>
              </w:rPr>
              <w:t>7.2 / 7.3 / 7.4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PR-SGA-07</w:t>
            </w:r>
          </w:p>
        </w:tc>
        <w:tc>
          <w:tcPr>
            <w:tcW w:type="dxa" w:w="5386"/>
          </w:tcPr>
          <w:p>
            <w:r>
              <w:rPr>
                <w:sz w:val="17"/>
              </w:rPr>
              <w:t>RG-SGA-08; RG-SGA-09 (tbl_comunicacao, tbl_comunicacoes_externas)</w:t>
            </w:r>
          </w:p>
        </w:tc>
      </w:tr>
      <w:tr>
        <w:tc>
          <w:tcPr>
            <w:tcW w:type="dxa" w:w="1417"/>
          </w:tcPr>
          <w:p>
            <w:r>
              <w:rPr>
                <w:sz w:val="17"/>
              </w:rPr>
              <w:t>7.5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PR-SGA-08</w:t>
            </w:r>
          </w:p>
        </w:tc>
        <w:tc>
          <w:tcPr>
            <w:tcW w:type="dxa" w:w="5386"/>
          </w:tcPr>
          <w:p>
            <w:r>
              <w:rPr>
                <w:sz w:val="17"/>
              </w:rPr>
              <w:t>RG-SGA-09 (tbl_lista_mestra)</w:t>
            </w:r>
          </w:p>
        </w:tc>
      </w:tr>
      <w:tr>
        <w:tc>
          <w:tcPr>
            <w:tcW w:type="dxa" w:w="1417"/>
          </w:tcPr>
          <w:p>
            <w:r>
              <w:rPr>
                <w:sz w:val="17"/>
              </w:rPr>
              <w:t>8.1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PR-SGA-04; PR-SGA-09; IT-SER-03</w:t>
            </w:r>
          </w:p>
        </w:tc>
        <w:tc>
          <w:tcPr>
            <w:tcW w:type="dxa" w:w="5386"/>
          </w:tcPr>
          <w:p>
            <w:r>
              <w:rPr>
                <w:sz w:val="17"/>
              </w:rPr>
              <w:t>RG-SGA-10; RG-SGA-11</w:t>
            </w:r>
          </w:p>
        </w:tc>
      </w:tr>
      <w:tr>
        <w:tc>
          <w:tcPr>
            <w:tcW w:type="dxa" w:w="1417"/>
          </w:tcPr>
          <w:p>
            <w:r>
              <w:rPr>
                <w:sz w:val="17"/>
              </w:rPr>
              <w:t>8.2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PR-SGA-05; IT-SGA-01; IT-SGA-02</w:t>
            </w:r>
          </w:p>
        </w:tc>
        <w:tc>
          <w:tcPr>
            <w:tcW w:type="dxa" w:w="5386"/>
          </w:tcPr>
          <w:p>
            <w:r>
              <w:rPr>
                <w:sz w:val="17"/>
              </w:rPr>
              <w:t>RG-SGA-12; RG-SGA-07 (tbl_incidentes)</w:t>
            </w:r>
          </w:p>
        </w:tc>
      </w:tr>
      <w:tr>
        <w:tc>
          <w:tcPr>
            <w:tcW w:type="dxa" w:w="1417"/>
          </w:tcPr>
          <w:p>
            <w:r>
              <w:rPr>
                <w:sz w:val="17"/>
              </w:rPr>
              <w:t>9.1.1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PR-SGA-10</w:t>
            </w:r>
          </w:p>
        </w:tc>
        <w:tc>
          <w:tcPr>
            <w:tcW w:type="dxa" w:w="5386"/>
          </w:tcPr>
          <w:p>
            <w:r>
              <w:rPr>
                <w:sz w:val="17"/>
              </w:rPr>
              <w:t>RG-SGA-13; RG-SGA-05; RG-SGA-16</w:t>
            </w:r>
          </w:p>
        </w:tc>
      </w:tr>
      <w:tr>
        <w:tc>
          <w:tcPr>
            <w:tcW w:type="dxa" w:w="1417"/>
          </w:tcPr>
          <w:p>
            <w:r>
              <w:rPr>
                <w:sz w:val="17"/>
              </w:rPr>
              <w:t>9.2 / 9.3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PR-SGA-11</w:t>
            </w:r>
          </w:p>
        </w:tc>
        <w:tc>
          <w:tcPr>
            <w:tcW w:type="dxa" w:w="5386"/>
          </w:tcPr>
          <w:p>
            <w:r>
              <w:rPr>
                <w:sz w:val="17"/>
              </w:rPr>
              <w:t>RG-SGA-14; RG-SGA-15</w:t>
            </w:r>
          </w:p>
        </w:tc>
      </w:tr>
      <w:tr>
        <w:tc>
          <w:tcPr>
            <w:tcW w:type="dxa" w:w="1417"/>
          </w:tcPr>
          <w:p>
            <w:r>
              <w:rPr>
                <w:sz w:val="17"/>
              </w:rPr>
              <w:t>10.1 / 10.2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PR-SGA-12</w:t>
            </w:r>
          </w:p>
        </w:tc>
        <w:tc>
          <w:tcPr>
            <w:tcW w:type="dxa" w:w="5386"/>
          </w:tcPr>
          <w:p>
            <w:r>
              <w:rPr>
                <w:sz w:val="17"/>
              </w:rPr>
              <w:t>RG-SGA-07; RG-SGA-06; RG-SGA-16</w:t>
            </w:r>
          </w:p>
        </w:tc>
      </w:tr>
      <w:tr>
        <w:tc>
          <w:tcPr>
            <w:tcW w:type="dxa" w:w="1417"/>
          </w:tcPr>
          <w:p>
            <w:r>
              <w:rPr>
                <w:sz w:val="17"/>
              </w:rPr>
              <w:t>ESG — pilar E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PR-SGA-13; PR-SGA-14; PL-SGA-01</w:t>
            </w:r>
          </w:p>
        </w:tc>
        <w:tc>
          <w:tcPr>
            <w:tcW w:type="dxa" w:w="5386"/>
          </w:tcPr>
          <w:p>
            <w:r>
              <w:rPr>
                <w:sz w:val="17"/>
              </w:rPr>
              <w:t>RG-SGA-19 (GEE, metas, pegada, substâncias, indicadores); RG-SGA-17</w:t>
            </w:r>
          </w:p>
        </w:tc>
      </w:tr>
      <w:tr>
        <w:tc>
          <w:tcPr>
            <w:tcW w:type="dxa" w:w="1417"/>
          </w:tcPr>
          <w:p>
            <w:r>
              <w:rPr>
                <w:sz w:val="17"/>
              </w:rPr>
              <w:t>Embalagens — reciclabilidade e PPWR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PR-SGA-15; PR-SGA-14</w:t>
            </w:r>
          </w:p>
        </w:tc>
        <w:tc>
          <w:tcPr>
            <w:tcW w:type="dxa" w:w="5386"/>
          </w:tcPr>
          <w:p>
            <w:r>
              <w:rPr>
                <w:sz w:val="17"/>
              </w:rPr>
              <w:t>RG-SGA-20 (RecyClass, graus PPWR, reciclado, matriz legal de produto)</w:t>
            </w:r>
          </w:p>
        </w:tc>
      </w:tr>
      <w:tr>
        <w:tc>
          <w:tcPr>
            <w:tcW w:type="dxa" w:w="1417"/>
          </w:tcPr>
          <w:p>
            <w:r>
              <w:rPr>
                <w:sz w:val="17"/>
              </w:rPr>
              <w:t>Produtos químicos — REACH, CLP, SVHC, risco químico</w:t>
            </w:r>
          </w:p>
        </w:tc>
        <w:tc>
          <w:tcPr>
            <w:tcW w:type="dxa" w:w="2835"/>
          </w:tcPr>
          <w:p>
            <w:r>
              <w:rPr>
                <w:sz w:val="17"/>
              </w:rPr>
              <w:t>PR-SGA-16</w:t>
            </w:r>
          </w:p>
        </w:tc>
        <w:tc>
          <w:tcPr>
            <w:tcW w:type="dxa" w:w="5386"/>
          </w:tcPr>
          <w:p>
            <w:r>
              <w:rPr>
                <w:sz w:val="17"/>
              </w:rPr>
              <w:t>RG-SGA-21 (inventário, FDS, cenários de exposição, registo/importação, SVHC, avaliação de risco, Seveso, matriz legal)</w:t>
            </w:r>
          </w:p>
        </w:tc>
      </w:tr>
    </w:tbl>
    <w:p/>
    <w:p>
      <w:pPr>
        <w:spacing w:before="160"/>
      </w:pPr>
      <w:r>
        <w:rPr>
          <w:b/>
          <w:color w:val="1F4E5F"/>
          <w:sz w:val="23"/>
        </w:rPr>
        <w:t>7. Transição para a ISO 14001:2026</w:t>
      </w:r>
    </w:p>
    <w:p>
      <w:pPr>
        <w:pStyle w:val="ListBullet"/>
      </w:pPr>
      <w:r>
        <w:t>4.1: condições ambientais explícitas no PESTEL (Condicao_Ambiental_ISO2026).</w:t>
      </w:r>
    </w:p>
    <w:p>
      <w:pPr>
        <w:pStyle w:val="ListBullet"/>
      </w:pPr>
      <w:r>
        <w:t>4.2 c): decisão sobre que necessidades se tornam obrigações de conformidade (tbl_partes_interessadas).</w:t>
      </w:r>
    </w:p>
    <w:p>
      <w:pPr>
        <w:pStyle w:val="ListBullet"/>
      </w:pPr>
      <w:r>
        <w:t>4.3 e): controlo e influência sobre o ciclo de vida definidos neste manual.</w:t>
      </w:r>
    </w:p>
    <w:p>
      <w:pPr>
        <w:pStyle w:val="ListBullet"/>
      </w:pPr>
      <w:r>
        <w:t>6.1.2: condição de emergência separada da anormal (tbl_aspetos, tbl_incidentes).</w:t>
      </w:r>
    </w:p>
    <w:p>
      <w:pPr>
        <w:pStyle w:val="ListBullet"/>
      </w:pPr>
      <w:r>
        <w:t>6.1.4 / 6.1.5: determinar riscos e planear ações em passos separados (PR-SGA-02).</w:t>
      </w:r>
    </w:p>
    <w:p>
      <w:pPr>
        <w:pStyle w:val="ListBullet"/>
      </w:pPr>
      <w:r>
        <w:t>6.3: novo PR-SGA-06 e RG-SGA-18.</w:t>
      </w:r>
    </w:p>
    <w:p>
      <w:pPr>
        <w:pStyle w:val="ListBullet"/>
      </w:pPr>
      <w:r>
        <w:t>8.1: tipo e extensão do controlo de processos, produtos e serviços externos (RG-SGA-11).</w:t>
      </w:r>
    </w:p>
    <w:p>
      <w:pPr>
        <w:pStyle w:val="ListBullet"/>
      </w:pPr>
      <w:r>
        <w:t>9.2.2: objetivos definidos para cada auditoria (tbl_programa_auditorias).</w:t>
      </w:r>
    </w:p>
    <w:p>
      <w:pPr>
        <w:pStyle w:val="ListBullet"/>
      </w:pPr>
      <w:r>
        <w:t>9.3: entradas 9.3.2 e resultados 9.3.3 separados (RG-SGA-15).</w:t>
      </w:r>
    </w:p>
    <w:p>
      <w:pPr>
        <w:pStyle w:val="ListBullet"/>
      </w:pPr>
      <w:r>
        <w:t>7.5: 'manter' → disponível; 'reter' → disponível como evidência (PR-SGA-08).</w:t>
      </w:r>
    </w:p>
    <w:p>
      <w:pPr>
        <w:spacing w:before="160"/>
      </w:pPr>
      <w:r>
        <w:rPr>
          <w:b/>
          <w:color w:val="1F4E5F"/>
          <w:sz w:val="23"/>
        </w:rPr>
        <w:t>Histórico de revisões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134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Versão</w:t>
            </w:r>
          </w:p>
        </w:tc>
        <w:tc>
          <w:tcPr>
            <w:tcW w:type="dxa" w:w="1701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Data</w:t>
            </w:r>
          </w:p>
        </w:tc>
        <w:tc>
          <w:tcPr>
            <w:tcW w:type="dxa" w:w="6803"/>
            <w:shd w:val="clear" w:color="auto" w:fill="1F4E5F"/>
          </w:tcPr>
          <w:p>
            <w:r>
              <w:rPr>
                <w:b/>
                <w:color w:val="FFFFFF"/>
                <w:sz w:val="17"/>
              </w:rPr>
              <w:t>Alteração</w:t>
            </w:r>
          </w:p>
        </w:tc>
      </w:tr>
      <w:tr>
        <w:tc>
          <w:tcPr>
            <w:tcW w:type="dxa" w:w="1134"/>
          </w:tcPr>
          <w:p>
            <w:r>
              <w:rPr>
                <w:sz w:val="17"/>
              </w:rPr>
              <w:t>00</w:t>
            </w:r>
          </w:p>
        </w:tc>
        <w:tc>
          <w:tcPr>
            <w:tcW w:type="dxa" w:w="1701"/>
          </w:tcPr>
          <w:p>
            <w:r>
              <w:rPr>
                <w:sz w:val="17"/>
              </w:rPr>
              <w:t>2026-09-24</w:t>
            </w:r>
          </w:p>
        </w:tc>
        <w:tc>
          <w:tcPr>
            <w:tcW w:type="dxa" w:w="6803"/>
          </w:tcPr>
          <w:p>
            <w:r>
              <w:rPr>
                <w:sz w:val="17"/>
              </w:rPr>
              <w:t>Emissão do manual (âmbito, estrutura e correspondência com a ISO 14001:2026).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808080"/>
        <w:sz w:val="14"/>
      </w:rPr>
      <w:t>Documento controlado: a versão eletrónica em Documentos_SGA_Plasticom é a versão em vigor; cópias impressas não são controladas.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606060"/>
        <w:sz w:val="16"/>
      </w:rPr>
      <w:t>PLASTICOM — Sistema de Gestão Ambiental (NP EN ISO 14001:2026)    |    MAN-SGA-01 rev. 00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