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IDENTIFICAÇÃO E AVALIAÇÃO DE ASPETOS AMBIENTAIS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PR-SGA-01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Identificar os aspetos ambientais das atividades, produtos e serviços que a Plasticom pode controlar e influenciar, numa perspetiva de ciclo de vida, e determinar os significativos.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Todas as atividades da Unidade 1, em condições normais, anormais e de emergência, e as fases do ciclo de vida: aquisição, conceção, produção, distribuição, uso e fim de vida.</w:t>
      </w:r>
    </w:p>
    <w:p>
      <w:pPr>
        <w:spacing w:before="160"/>
      </w:pPr>
      <w:r>
        <w:rPr>
          <w:b/>
          <w:color w:val="1F4E5F"/>
          <w:sz w:val="23"/>
        </w:rPr>
        <w:t>3. Referências</w:t>
      </w:r>
    </w:p>
    <w:p>
      <w:pPr>
        <w:pStyle w:val="ListBullet"/>
      </w:pPr>
      <w:r>
        <w:t>ISO 14001:2026 6.1.2 (base PR.G.01.01)</w:t>
      </w:r>
    </w:p>
    <w:p>
      <w:pPr>
        <w:pStyle w:val="ListBullet"/>
      </w:pPr>
      <w:r>
        <w:t>PR-SGA-02, PR-SGA-06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 do SGA / EHS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Coordena o levantamento, aplica os critérios e mantém a matriz.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Responsáveis de área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Participam na identificação e validam os controlos.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Industrial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Aprova a matriz e os aspetos significativos.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Levantar atividades por processo e fase do ciclo de vida (entradas, saídas, recursos, resíduos, emissões).</w:t>
      </w:r>
    </w:p>
    <w:p>
      <w:pPr>
        <w:ind w:left="227"/>
      </w:pPr>
      <w:r>
        <w:t>2. Para cada atividade, descrever o aspeto (causa) e o impacte (efeito), a condição de operação (normal, anormal, emergência) e a temporalidade.</w:t>
      </w:r>
    </w:p>
    <w:p>
      <w:pPr>
        <w:ind w:left="227"/>
      </w:pPr>
      <w:r>
        <w:t>3. Pontuar Frequência (F), Magnitude (M), Gravidade (G) e Legislação/partes interessadas (L); calcular IRA = (F + M) × G × L.</w:t>
      </w:r>
    </w:p>
    <w:p>
      <w:pPr>
        <w:ind w:left="227"/>
      </w:pPr>
      <w:r>
        <w:t>4. Classificar: AAS se IRA ≥ 40 ou L = 2 (regra de ouro: requisito legal ou parte interessada relevante); Moderado 20–39 (com ação no plano); Não significativo 0–19; Oportunidade tática −1 a −14; AAS benéfico ≤ −15.</w:t>
      </w:r>
    </w:p>
    <w:p>
      <w:pPr>
        <w:ind w:left="227"/>
      </w:pPr>
      <w:r>
        <w:t>5. Para cada AAS definir controlo operacional, objetivo ou ação do PAM e monitorização; ligar a requisitos legais e a riscos/oportunidades.</w:t>
      </w:r>
    </w:p>
    <w:p>
      <w:pPr>
        <w:ind w:left="227"/>
      </w:pPr>
      <w:r>
        <w:t>6. Rever anualmente e sempre que houver alteração (RG-SGA-18), incidente relevante (RG-SGA-07) ou novo requisito legal.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(Registos_SGA_Plasticom)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RG-SGA-03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tbl_aspetos, tbl_impactes, tbl_aspeto_impacte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RG-SGA-18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tbl_alteracoes (gatilho de revisão)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2025-01-10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inicial (base PR.G.01.01).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2026-05-15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Condição de emergência separada da anormal (ISO 14001:2026); perspetiva de ciclo de vida obrigatória.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PR-SGA-01 rev.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