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5F"/>
          <w:sz w:val="30"/>
        </w:rPr>
        <w:t>GESTÃO DE RISCOS E OPORTUNIDADES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Código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Versão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Data de aprovação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Elaborado por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Aprovado por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Estado</w:t>
            </w:r>
          </w:p>
        </w:tc>
      </w:tr>
      <w:tr>
        <w:tc>
          <w:tcPr>
            <w:tcW w:type="dxa" w:w="1662"/>
          </w:tcPr>
          <w:p>
            <w:r>
              <w:rPr>
                <w:sz w:val="16"/>
              </w:rPr>
              <w:t>PR-SGA-02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00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2026-04-10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Gestor(a) do SGA / EHS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Diretor Geral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Em vigor</w:t>
            </w:r>
          </w:p>
        </w:tc>
      </w:tr>
    </w:tbl>
    <w:p/>
    <w:p>
      <w:pPr>
        <w:spacing w:before="160"/>
      </w:pPr>
      <w:r>
        <w:rPr>
          <w:b/>
          <w:color w:val="1F4E5F"/>
          <w:sz w:val="23"/>
        </w:rPr>
        <w:t>1. Objetivo</w:t>
      </w:r>
    </w:p>
    <w:p>
      <w:pPr>
        <w:spacing w:after="80"/>
      </w:pPr>
      <w:r>
        <w:t>Determinar os riscos e oportunidades relacionados com aspetos ambientais, obrigações de conformidade e contexto (incluindo condições ambientais) e planear ações para os tratar.</w:t>
      </w:r>
    </w:p>
    <w:p>
      <w:pPr>
        <w:spacing w:before="160"/>
      </w:pPr>
      <w:r>
        <w:rPr>
          <w:b/>
          <w:color w:val="1F4E5F"/>
          <w:sz w:val="23"/>
        </w:rPr>
        <w:t>2. Âmbito</w:t>
      </w:r>
    </w:p>
    <w:p>
      <w:pPr>
        <w:spacing w:after="80"/>
      </w:pPr>
      <w:r>
        <w:t>Riscos e oportunidades do SGA e do registo corporativo multiárea.</w:t>
      </w:r>
    </w:p>
    <w:p>
      <w:pPr>
        <w:spacing w:before="160"/>
      </w:pPr>
      <w:r>
        <w:rPr>
          <w:b/>
          <w:color w:val="1F4E5F"/>
          <w:sz w:val="23"/>
        </w:rPr>
        <w:t>3. Referências</w:t>
      </w:r>
    </w:p>
    <w:p>
      <w:pPr>
        <w:pStyle w:val="ListBullet"/>
      </w:pPr>
      <w:r>
        <w:t>ISO 14001:2026 6.1.1, 6.1.4, 6.1.5</w:t>
      </w:r>
    </w:p>
    <w:p>
      <w:pPr>
        <w:pStyle w:val="ListBullet"/>
      </w:pPr>
      <w:r>
        <w:t>PG-SGI-006 (base)</w:t>
      </w:r>
    </w:p>
    <w:p>
      <w:pPr>
        <w:pStyle w:val="ListBullet"/>
      </w:pPr>
      <w:r>
        <w:t>ISO 31000, IEC 31010</w:t>
      </w:r>
    </w:p>
    <w:p>
      <w:pPr>
        <w:spacing w:before="160"/>
      </w:pPr>
      <w:r>
        <w:rPr>
          <w:b/>
          <w:color w:val="1F4E5F"/>
          <w:sz w:val="23"/>
        </w:rPr>
        <w:t>4. Responsabilidades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6803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Responsabilidade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Gestor do SGA / EHS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Mantém o registo e a metodologia P × S.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Donos dos riscos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Avaliam, tratam e monitorizam.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Diretor Geral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Aprova o apetite ao risco e a aceitação dos riscos significativos.</w:t>
            </w:r>
          </w:p>
        </w:tc>
      </w:tr>
    </w:tbl>
    <w:p/>
    <w:p>
      <w:pPr>
        <w:spacing w:before="160"/>
      </w:pPr>
      <w:r>
        <w:rPr>
          <w:b/>
          <w:color w:val="1F4E5F"/>
          <w:sz w:val="23"/>
        </w:rPr>
        <w:t>5. Descrição do processo</w:t>
      </w:r>
    </w:p>
    <w:p>
      <w:pPr>
        <w:ind w:left="227"/>
      </w:pPr>
      <w:r>
        <w:t>1. Identificar riscos e oportunidades a partir do contexto (PESTEL, SWOT), partes interessadas, aspetos significativos e obrigações de conformidade.</w:t>
      </w:r>
    </w:p>
    <w:p>
      <w:pPr>
        <w:ind w:left="227"/>
      </w:pPr>
      <w:r>
        <w:t>2. Avaliar com a matriz P × S do curso (P 1–3; S −3 a +3) e, no registo corporativo, com a escala 5×5 (inerente, atual, residual).</w:t>
      </w:r>
    </w:p>
    <w:p>
      <w:pPr>
        <w:ind w:left="227"/>
      </w:pPr>
      <w:r>
        <w:t>3. Decidir o tratamento (assumir, monitorizar, mitigar, eliminar, transferir; explorar oportunidades) e transferir as ações para o PAM.</w:t>
      </w:r>
    </w:p>
    <w:p>
      <w:pPr>
        <w:ind w:left="227"/>
      </w:pPr>
      <w:r>
        <w:t>4. Definir o critério de eficácia, o KRI e, para riscos Altos/Críticos, a análise BowTie.</w:t>
      </w:r>
    </w:p>
    <w:p>
      <w:pPr>
        <w:ind w:left="227"/>
      </w:pPr>
      <w:r>
        <w:t>5. Rever a cada 6 meses os significativos e a cada 12 meses os restantes, ou após alteração ou incidente.</w:t>
      </w:r>
    </w:p>
    <w:p>
      <w:pPr>
        <w:spacing w:before="160"/>
      </w:pPr>
      <w:r>
        <w:rPr>
          <w:b/>
          <w:color w:val="1F4E5F"/>
          <w:sz w:val="23"/>
        </w:rPr>
        <w:t>6. Informação documentada (evidência)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Registo</w:t>
            </w:r>
          </w:p>
        </w:tc>
        <w:tc>
          <w:tcPr>
            <w:tcW w:type="dxa" w:w="7370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Tabelas (Registos_SGA_Plasticom)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RG-SGA-02</w:t>
            </w:r>
          </w:p>
        </w:tc>
        <w:tc>
          <w:tcPr>
            <w:tcW w:type="dxa" w:w="7370"/>
          </w:tcPr>
          <w:p>
            <w:r>
              <w:rPr>
                <w:sz w:val="17"/>
              </w:rPr>
              <w:t>tbRiscos, tbOportunidades, tbKRI, tbBowTie, tbPlanos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RG-SGA-06</w:t>
            </w:r>
          </w:p>
        </w:tc>
        <w:tc>
          <w:tcPr>
            <w:tcW w:type="dxa" w:w="7370"/>
          </w:tcPr>
          <w:p>
            <w:r>
              <w:rPr>
                <w:sz w:val="17"/>
              </w:rPr>
              <w:t>tbl_pam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RG-SGA-17</w:t>
            </w:r>
          </w:p>
        </w:tc>
        <w:tc>
          <w:tcPr>
            <w:tcW w:type="dxa" w:w="7370"/>
          </w:tcPr>
          <w:p>
            <w:r>
              <w:rPr>
                <w:sz w:val="17"/>
              </w:rPr>
              <w:t>tbl_dma_iro (dupla materialidade)</w:t>
            </w:r>
          </w:p>
        </w:tc>
      </w:tr>
    </w:tbl>
    <w:p/>
    <w:p>
      <w:pPr>
        <w:spacing w:before="160"/>
      </w:pPr>
      <w:r>
        <w:rPr>
          <w:b/>
          <w:color w:val="1F4E5F"/>
          <w:sz w:val="23"/>
        </w:rPr>
        <w:t>Histórico de revisões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Versão</w:t>
            </w:r>
          </w:p>
        </w:tc>
        <w:tc>
          <w:tcPr>
            <w:tcW w:type="dxa" w:w="1701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Data</w:t>
            </w:r>
          </w:p>
        </w:tc>
        <w:tc>
          <w:tcPr>
            <w:tcW w:type="dxa" w:w="6803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Alteração</w:t>
            </w:r>
          </w:p>
        </w:tc>
      </w:tr>
      <w:tr>
        <w:tc>
          <w:tcPr>
            <w:tcW w:type="dxa" w:w="1134"/>
          </w:tcPr>
          <w:p>
            <w:r>
              <w:rPr>
                <w:sz w:val="17"/>
              </w:rPr>
              <w:t>00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2026-04-10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Emissão (base PG-SGI-006), separando 6.1.4 (determinar) de 6.1.5 (planear ações).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808080"/>
        <w:sz w:val="14"/>
      </w:rPr>
      <w:t>Documento controlado: a versão eletrónica em Documentos_SGA_Plasticom é a versão em vigor; cópias impressas não são controladas.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06060"/>
        <w:sz w:val="16"/>
      </w:rPr>
      <w:t>PLASTICOM — Sistema de Gestão Ambiental (NP EN ISO 14001:2026)    |    PR-SGA-02 rev. 00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