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PREPARAÇÃO E RESPOSTA A EMERGÊNCIAS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2025-10-05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revisão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Preparar a resposta às situações de emergência com impacte ambiental identificadas na 6.1.2 e testá-la periodicamente.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Cenários EMG-01 a EMG-06: derrames, incêndio, fuga de óleo, fuga de gás fluorado, descarga anómala e perda massiva de granulado.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6.1.2, 8.2</w:t>
      </w:r>
    </w:p>
    <w:p>
      <w:pPr>
        <w:pStyle w:val="ListBullet"/>
      </w:pPr>
      <w:r>
        <w:t>Medidas de autoproteção (SCIE)</w:t>
      </w:r>
    </w:p>
    <w:p>
      <w:pPr>
        <w:pStyle w:val="ListBullet"/>
      </w:pPr>
      <w:r>
        <w:t>IT-SGA-01, IT-SGA-02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Chefe de emergência.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Cenários, meios e simulacros ambientais.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Todos os trabalhadores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Alertar e aplicar a IT do posto.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Identificar cenários a partir dos aspetos em condição de emergência e dos riscos (RG-SGA-03, RG-SGA-02).</w:t>
      </w:r>
    </w:p>
    <w:p>
      <w:pPr>
        <w:ind w:left="227"/>
      </w:pPr>
      <w:r>
        <w:t>2. Definir para cada cenário a resposta, os meios (kits, válvula de corte, bacia de retenção) e as comunicações externas.</w:t>
      </w:r>
    </w:p>
    <w:p>
      <w:pPr>
        <w:ind w:left="227"/>
      </w:pPr>
      <w:r>
        <w:t>3. Inspecionar os meios (rondas RON-05/06; tbl_manutencao_ambiental) e repor após uso.</w:t>
      </w:r>
    </w:p>
    <w:p>
      <w:pPr>
        <w:ind w:left="227"/>
      </w:pPr>
      <w:r>
        <w:t>4. Realizar pelo menos um simulacro ambiental por ano, com lições aprendidas e ações no PAM.</w:t>
      </w:r>
    </w:p>
    <w:p>
      <w:pPr>
        <w:ind w:left="227"/>
      </w:pPr>
      <w:r>
        <w:t>5. Após qualquer incidente real: registar (tbl_incidentes), rever o cenário e a IT.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RG-SGA-12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tbl_cenarios, tbl_meios, tbl_simulacros, tbl_it_passos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RG-SGA-07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tbl_incidentes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2024-05-02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2025-10-05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Cenário de perda massiva de granulado. Em revisão para distinguir condição anormal de emergência (ISO 14001:2026).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PR-SGA-05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