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COMPETÊNCIA, CONSCIENCIALIZAÇÃO E COMUNICAÇÃO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Assegurar que quem trabalha sob o controlo da Plasticom é competente e consciente do seu papel no SGA, e que a comunicação interna e externa é planeada, rastreável e permite contribuir para a melhoria.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Trabalhadores próprios, temporários e prestadores que trabalham nas instalações; comunicação interna e externa.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ISO 14001:2026 7.2, 7.3, 7.4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Recursos Humanos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Plano de formação e registo.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Chefias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Avaliam a competência e a eficácia.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Matriz de comunicação e resposta a comunicações externas.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Definir, por função, a competência necessária para os aspetos significativos (matriz de competências).</w:t>
      </w:r>
    </w:p>
    <w:p>
      <w:pPr>
        <w:ind w:left="227"/>
      </w:pPr>
      <w:r>
        <w:t>2. Formar, registar e avaliar a eficácia; acolhimento ambiental para novos trabalhadores e prestadores.</w:t>
      </w:r>
    </w:p>
    <w:p>
      <w:pPr>
        <w:ind w:left="227"/>
      </w:pPr>
      <w:r>
        <w:t>3. Consciencializar para a política, os aspetos significativos, as consequências do desvio e o contributo de cada um (Kaizen).</w:t>
      </w:r>
    </w:p>
    <w:p>
      <w:pPr>
        <w:ind w:left="227"/>
      </w:pPr>
      <w:r>
        <w:t>4. Planear a comunicação (o quê, a quem, quando, como, porquê) e registar cada comunicação externa recebida ou enviada, com prazo de resposta.</w:t>
      </w:r>
    </w:p>
    <w:p>
      <w:pPr>
        <w:ind w:left="227"/>
      </w:pPr>
      <w:r>
        <w:t>5. Responder a reclamações externas em 5 dias úteis e ligá-las a incidentes e NC.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RG-SGA-08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tbl_competencias, tbl_formacoes, tbl_registo_formacao, tbl_raci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RG-SGA-09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tbl_comunicacao, tbl_comunicacoes_externas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PR-SGA-07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