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GESTÃO DE PRODUTOS QUÍMICOS — REACH, CLP, SVHC E RISCO QUÍMICO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Definir como a Plasticom identifica, aprova, regista, usa, armazena e controla os produtos químicos para cumprir o REACH, o CLP e a legislação portuguesa de segurança e saúde (agentes químicos e cancerígenos/reprotóxicos), e que evidência fica no registo RG-SGA-21. É o guia de trabalho dos engenheiros e técnicos: cada secção diz o que fazer, em que folha do Excel e com que critério.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Todas as substâncias, misturas, gases, polímeros e aditivos usados na Unidade 1 (produção, manutenção, utilidades, laboratório), os agentes gerados pelo processo (fumos de moldação) e as embalagens produzidas (artigos) quanto a SVHC. Os produtos usados por prestadores de serviços (limpeza) são controlados pelo RG-SGA-11 (LIM-01), com lista de FDS entregue pelo prestador.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Reg. (CE) 1907/2006 (REACH) — arts. 3.º, 5.º–8.º, 31.º–39.º, 56.º, 67.º; anexos XIV e XVII (entradas 51, 63, 70, 74, 78, 79)</w:t>
      </w:r>
    </w:p>
    <w:p>
      <w:pPr>
        <w:pStyle w:val="ListBullet"/>
      </w:pPr>
      <w:r>
        <w:t>Reg. (UE) 2020/878 (anexo II do REACH — formato da FDS)</w:t>
      </w:r>
    </w:p>
    <w:p>
      <w:pPr>
        <w:pStyle w:val="ListBullet"/>
      </w:pPr>
      <w:r>
        <w:t>Reg. (CE) 1272/2008 (CLP); Reg. Delegado (UE) 2023/707 (novas classes de perigo); Reg. (UE) 2024/2865 e Reg. (UE) 2025/2439 (adiamento para 2028)</w:t>
      </w:r>
    </w:p>
    <w:p>
      <w:pPr>
        <w:pStyle w:val="ListBullet"/>
      </w:pPr>
      <w:r>
        <w:t>Diretiva 2008/98/CE, art. 9.º (SCIP) e DL 102-D/2020 (RGGR); Reg. (UE) 2019/1021 (POP); Reg. (UE) 528/2012 e DL 140/2017 (biocidas)</w:t>
      </w:r>
    </w:p>
    <w:p>
      <w:pPr>
        <w:pStyle w:val="ListBullet"/>
      </w:pPr>
      <w:r>
        <w:t>Reg. (UE) 2025/2365 (perdas de granulado); Reg. (UE) 2025/40 (PPWR), art. 5.º; Regs. (CE) 1935/2004, (UE) 10/2011 e (UE) 2024/3190 (contacto alimentar, BPA)</w:t>
      </w:r>
    </w:p>
    <w:p>
      <w:pPr>
        <w:pStyle w:val="ListBullet"/>
      </w:pPr>
      <w:r>
        <w:t>DL 293/2009 (execução do REACH; autoridades DGAE, APA, DGS; helpdesk DGAE) e DL 220/2012 (execução do CLP)</w:t>
      </w:r>
    </w:p>
    <w:p>
      <w:pPr>
        <w:pStyle w:val="ListBullet"/>
      </w:pPr>
      <w:r>
        <w:t>DL 24/2012 (agentes químicos) e alterações; DL 301/2000 na redação do DL 102/2024 (cancerígenos, mutagénicos e reprotóxicos); Lei 102/2009; Código do Trabalho, art. 62.º</w:t>
      </w:r>
    </w:p>
    <w:p>
      <w:pPr>
        <w:pStyle w:val="ListBullet"/>
      </w:pPr>
      <w:r>
        <w:t>DL 150/2015 (Seveso III); DL 220/2008 e Portaria 1532/2008 (SCIE); DL 236/2003 (ATEX); DL 41-A/2010 (ADR)</w:t>
      </w:r>
    </w:p>
    <w:p>
      <w:pPr>
        <w:pStyle w:val="ListBullet"/>
      </w:pPr>
      <w:r>
        <w:t>NP EN 689:2018 (estratégia de medição); NP 1796:2014 (valores-limite de exposição)</w:t>
      </w:r>
    </w:p>
    <w:p>
      <w:pPr>
        <w:pStyle w:val="ListBullet"/>
      </w:pPr>
      <w:r>
        <w:t>ECHA: Guia para utilizadores a jusante; Guia prático sobre cenários de exposição; Guia sobre substâncias em artigos; Guia de registo; 'A segurança química na sua empresa — Introdução para PME' (ECHA-15-B-02-PT, pasta REACH); guia de relatório de microplásticos</w:t>
      </w:r>
    </w:p>
    <w:p>
      <w:pPr>
        <w:pStyle w:val="ListBullet"/>
      </w:pPr>
      <w:r>
        <w:t>ONU — GHS, 10.ª revisão ('Purple Book', pasta REACH); INRS ND 2233 e ED 6485 (Seirich) — método de avaliação do risco químico</w:t>
      </w:r>
    </w:p>
    <w:p>
      <w:pPr>
        <w:pStyle w:val="ListBullet"/>
      </w:pPr>
      <w:r>
        <w:t>PR-SGA-03 (obrigações de conformidade), PR-SGA-04 (resíduos), PR-SGA-05 (emergências), PR-SGA-06 (alterações), PR-SGA-09 (controlo operacional e fornecedores)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Significado prático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Substância / mistura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Substância: elemento ou composto (ex.: ciclo-hexanona). Mistura: duas ou mais substâncias (ex.: tinta, diluente).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Artigo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Objeto cuja forma determina a função mais do que a composição (ex.: frasco, tampa, foil de hot stamping). Não tem FDS; tem declaração SVHC.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Polímero / monómero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Polímeros estão isentos de registo; os monómeros (≥ 2% e ≥ 1 t/ano) e os aditivos não estão (art. 6.º, n.º 3).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Utilizador a jusante (UJ)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Quem usa químicos na atividade industrial sem os fabricar nem importar — é o papel normal da Plasticom.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Importador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Quem introduz a mercadoria no território aduaneiro da UE. Comprar a um fornecedor de fora do EEE torna a Plasticom importadora, salvo RU ou importador UE.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Representante único (RU)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Entidade da UE nomeada pelo fabricante extra-UE para registar em seu nome; o importador coberto passa a UJ.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SVHC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Substância que suscita elevada preocupação, na lista candidata da ECHA (253 entradas em 04/02/2026).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FDS / FDS alargada / CE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Ficha de dados de segurança (16 secções). A FDS alargada tem cenários de exposição (CE) em anexo: condições em que o uso é seguro.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PROC / ERC / SU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Descritores de uso da ECHA (categoria de processo, de libertação para o ambiente, setor de uso).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CMR 1A/1B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Cancerígeno, mutagénico ou tóxico para a reprodução comprovado/presumido (H340, H350, H360) — regime do DL 301/2000.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VLE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Valor-limite de exposição profissional (média de 8 h — VLE-MP; curta duração — VLE-CD).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RSQ-UJ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Relatório de segurança química do utilizador a jusante (art. 37.º, n.º 4), para usos não cobertos.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Dono do procedimento e do RG-SGA-21; papel REACH, matriz legal, avaliação de riscos químicos, Seveso, calendário, relatório de microplásticos.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Técnico de Qualidade/Ambiente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Verificação das FDS (checklist) e pedidos de correção aos fornecedores.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Não encomendar produto novo sem aprovação; verificar origem EEE/RU; obter declarações SVHC/PFAS/FCM.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Engenheiros de processo e manutenção (Produção, Manutenção, R&amp;D)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Propor o produto, descrever o uso real (tarefa, PROC, duração, quantidade), verificar os cenários de exposição e implementar as medidas.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R&amp;D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Triagem SVHC dos artigos (embalagens), comunicação art. 33.º e SCIP; escolha de materiais sem SVHC/PFAS.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Armazém e Logística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Receção (rótulo = FDS), armazenagem e compatibilidades, stock máximo por local.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Recursos Humanos / Medicina do Trabalho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Formações obrigatórias (diisocianatos, CMR), vigilância da saúde, proteção da maternidade e de menores, lista de expostos a CMR.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produtos 'Aprovado condicionado' e as substituições; decide sobre CMR/SVHC.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r>
        <w:rPr>
          <w:b/>
          <w:sz w:val="21"/>
        </w:rPr>
        <w:t>6.1 Determinar o papel REACH da Plasticom (folha Papel_REACH)</w:t>
      </w:r>
    </w:p>
    <w:p>
      <w:pPr>
        <w:spacing w:after="80"/>
      </w:pPr>
      <w:r>
        <w:t>O papel define as obrigações. Pergunte, por esta ordem, para cada compra ou atividade:</w:t>
      </w:r>
    </w:p>
    <w:p>
      <w:pPr>
        <w:ind w:left="227"/>
      </w:pPr>
      <w:r>
        <w:t>1. A Plasticom fabrica a substância? Não (a moldação transforma polímeros em artigos) → não é fabricante.</w:t>
      </w:r>
    </w:p>
    <w:p>
      <w:pPr>
        <w:ind w:left="227"/>
      </w:pPr>
      <w:r>
        <w:t>2. O fornecedor está fora do EEE (UE + Islândia, Listenstaine, Noruega)? Se sim, quem é o importador na fatura/incoterm/declaração aduaneira? Se for a Plasticom e não houver RU com a Plasticom na lista, a Plasticom é IMPORTADORA (ver 6.6).</w:t>
      </w:r>
    </w:p>
    <w:p>
      <w:pPr>
        <w:ind w:left="227"/>
      </w:pPr>
      <w:r>
        <w:t>3. Coloca químicos no mercado (vende, cede, reembala para terceiros)? Não → não é distribuidora nem formuladora. Misturar tinta com diluente para uso próprio não é formular.</w:t>
      </w:r>
    </w:p>
    <w:p>
      <w:pPr>
        <w:ind w:left="227"/>
      </w:pPr>
      <w:r>
        <w:t>4. Produz objetos (frascos, tampas, potes)? Sim → produtora de artigos (ver 6.7).</w:t>
      </w:r>
    </w:p>
    <w:p>
      <w:pPr>
        <w:ind w:left="227"/>
      </w:pPr>
      <w:r>
        <w:t>5. Usa granulado de polímeros numa instalação industrial? Sim → relatório anual de microplásticos à ECHA até 31/05 (anexo XVII, entrada 78) e Reg. 2025/2365.</w:t>
      </w:r>
    </w:p>
    <w:p>
      <w:pPr>
        <w:spacing w:after="80"/>
      </w:pPr>
      <w:r>
        <w:t>Registar/atualizar a folha Papel_REACH sempre que mude a origem de uma compra (ex.: Brexit tornou o Reino Unido país terceiro) ou o tipo de atividade.</w:t>
      </w:r>
    </w:p>
    <w:p>
      <w:r>
        <w:rPr>
          <w:b/>
          <w:sz w:val="21"/>
        </w:rPr>
        <w:t>6.2 Aprovação prévia de um produto químico novo ou alterado (porta de entrada)</w:t>
      </w:r>
    </w:p>
    <w:p>
      <w:pPr>
        <w:ind w:left="227"/>
      </w:pPr>
      <w:r>
        <w:t>1. O engenheiro que precisa do produto pede ao fornecedor a FDS em português (e, se existir, a FDS alargada com os cenários de exposição) e a ficha técnica. Nenhum produto é encomendado nem entra na fábrica sem este passo (Compras bloqueia a encomenda).</w:t>
      </w:r>
    </w:p>
    <w:p>
      <w:pPr>
        <w:ind w:left="227"/>
      </w:pPr>
      <w:r>
        <w:t>2. Criar a linha no Inventario (ID QUI-nnn) com Estado_Aprovacao = 'Em avaliação' e preencher as colunas brancas a partir das secções 1, 2, 3, 9 e 15 da FDS. As colunas cinzentas (perigoso, classe, CMR, sensibilizante, ambiente, proteção da maternidade, alerta) calculam-se sozinhas.</w:t>
      </w:r>
    </w:p>
    <w:p>
      <w:pPr>
        <w:ind w:left="227"/>
      </w:pPr>
      <w:r>
        <w:t>3. Registar os componentes perigosos (secção 3) na folha Componentes: a coluna SVHC_Vigiada cruza o CAS com a lista vigiada; confirmar sempre na lista completa da ECHA.</w:t>
      </w:r>
    </w:p>
    <w:p>
      <w:pPr>
        <w:ind w:left="227"/>
      </w:pPr>
      <w:r>
        <w:t>4. Verificar a FDS (6.4) e, se houver CE, o cenário de exposição (6.5).</w:t>
      </w:r>
    </w:p>
    <w:p>
      <w:pPr>
        <w:ind w:left="227"/>
      </w:pPr>
      <w:r>
        <w:t>5. Triagem de exclusão — o produto NÃO é aprovado se: for CMR 1A/1B (H340, H350, H360) e existir alternativa; contiver SVHC ≥ 0,1% ou substância do anexo XIV; violar uma restrição do anexo XVII; contiver PFAS em produtos para a linha alimentar; ou for H334 (sensibilizante respiratório) sem medidas de engenharia. Sem alternativa técnica: 'Aprovado condicionado' pelo Diretor Industrial, com plano de substituição no PAM.</w:t>
      </w:r>
    </w:p>
    <w:p>
      <w:pPr>
        <w:ind w:left="227"/>
      </w:pPr>
      <w:r>
        <w:t>6. Fazer a avaliação de risco da tarefa (6.9), definir local de armazenagem compatível (6.10), confirmar Seveso (6.11) e formação necessária (6.13).</w:t>
      </w:r>
    </w:p>
    <w:p>
      <w:pPr>
        <w:ind w:left="227"/>
      </w:pPr>
      <w:r>
        <w:t>7. Se o produto altera processos ou aspetos ambientais, abrir também uma alteração no RG-SGA-18 (PR-SGA-06).</w:t>
      </w:r>
    </w:p>
    <w:p>
      <w:pPr>
        <w:ind w:left="227"/>
      </w:pPr>
      <w:r>
        <w:t>8. Aprovar: Estado_Aprovacao = 'Aprovado' ou 'Aprovado condicionado', com data. Só então Compras encomenda e o posto recebe a FDS e a ficha-resumo.</w:t>
      </w:r>
    </w:p>
    <w:p>
      <w:r>
        <w:rPr>
          <w:b/>
          <w:sz w:val="21"/>
        </w:rPr>
        <w:t>6.3 Inventário (folha Inventario) — como preencher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O que escrever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Tipo_Produto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Substância, mistura, mistura (aerossol), gás, polímero ou artigo (artigos não têm FDS).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Origem_EEE / Papel_REACH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País do fornecedor; se 'Não', preencher também Registo_Importacao.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Qtd_Ano_kg / Stock_Max_kg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Consumo anual e quantidade máxima presente (é esta que conta para o Seveso e a retenção).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Volume_Embalagem_L / Local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Maior embalagem e local (ARM-nn) — calculam a retenção necessária na folha Armazenagem.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Frases_H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Códigos da secção 2 separados por ';' exatamente como na FDS (ex.: H225; H319; EUH066). Vazio = não classificado.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Categoria_Seveso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Categoria do anexo I do DL 150/2015 (ex.: P5c para líquidos inflamáveis cat. 2/3; E1 para H400/H410).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SVHC_Declarado / PFAS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Sim / Não / Por confirmar, a partir da secção 3/15 ou da declaração do fornecedor.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Anexo_XVII / Diisocianatos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Entrada de restrição aplicável; 'Sim' em diisocianatos ≥ 0,1% obriga a formação (6.13).</w:t>
            </w:r>
          </w:p>
        </w:tc>
      </w:tr>
    </w:tbl>
    <w:p/>
    <w:p>
      <w:pPr>
        <w:spacing w:after="80"/>
      </w:pPr>
      <w:r>
        <w:t>Rever o inventário todo uma vez por ano (OBR-11 do RG-SGA-04) e retirar produtos que já não se usam (Estado 'Descontinuado' — não apagar a linha: a informação conserva-se 10 anos, art. 36.º).</w:t>
      </w:r>
    </w:p>
    <w:p>
      <w:r>
        <w:rPr>
          <w:b/>
          <w:sz w:val="21"/>
        </w:rPr>
        <w:t>6.4 Verificação da FDS (folha FDS_Verificacao)</w:t>
      </w:r>
    </w:p>
    <w:p>
      <w:pPr>
        <w:ind w:left="227"/>
      </w:pPr>
      <w:r>
        <w:t>1. Uma linha por VERSÃO de FDS recebida (nunca apagar a versão anterior; a fórmula marca automaticamente a mais recente como Em_Vigor).</w:t>
      </w:r>
    </w:p>
    <w:p>
      <w:pPr>
        <w:ind w:left="227"/>
      </w:pPr>
      <w:r>
        <w:t>2. Responder aos 12 pontos (Sim / Não / N.A.): língua portuguesa; formato do Reg. 2020/878 (16 secções e subsecções, incl. 9, 11.2 e 12.6 — desregulação endócrina); identificação igual ao rótulo; telefone de emergência (CIAV 800 250 250); secção 2 igual ao rótulo; secção 3 com CAS/CE, concentrações, n.º de registo e SVHC; secção 8 com VLE/DNEL e EPI concretos; secções 11 e 12 completas; uso da Plasticom identificado; CE em anexo quando aplicável; secção 15 com restrições/autorização.</w:t>
      </w:r>
    </w:p>
    <w:p>
      <w:pPr>
        <w:ind w:left="227"/>
      </w:pPr>
      <w:r>
        <w:t>3. Qualquer 'Não' → Estado 'Pedir correção ao fornecedor': enviar pedido escrito (art. 34.º) e registar a data em Pedido_Fornecedor. Não aceitar FDS de outro país sem tradução.</w:t>
      </w:r>
    </w:p>
    <w:p>
      <w:pPr>
        <w:ind w:left="227"/>
      </w:pPr>
      <w:r>
        <w:t>4. Idade: o REACH não fixa prazo de validade da FDS (o fornecedor atualiza quando há nova informação — art. 31.º, n.º 9). A Plasticom usa 36 meses (parâmetro P-02) como critério INTERNO para pedir confirmação de que a versão é a mais recente.</w:t>
      </w:r>
    </w:p>
    <w:p>
      <w:pPr>
        <w:ind w:left="227"/>
      </w:pPr>
      <w:r>
        <w:t>5. Garantir a FDS (ou ficha-resumo do posto) acessível aos trabalhadores (art. 35.º) — coluna Disponivel_Posto.</w:t>
      </w:r>
    </w:p>
    <w:p>
      <w:r>
        <w:rPr>
          <w:b/>
          <w:sz w:val="21"/>
        </w:rPr>
        <w:t>6.5 Cenários de exposição (folha Cenarios_Exposicao)</w:t>
      </w:r>
    </w:p>
    <w:p>
      <w:pPr>
        <w:spacing w:after="80"/>
      </w:pPr>
      <w:r>
        <w:t>Quando a FDS traz cenários de exposição (substâncias registadas ≥ 10 t/ano e perigosas), o utilizador a jusante tem de verificar se o seu uso está coberto e aplicar as condições no prazo de 12 meses a contar da receção (arts. 37.º, n.º 4, e 39.º). Passos (guia prático da ECHA):</w:t>
      </w:r>
    </w:p>
    <w:p>
      <w:pPr>
        <w:ind w:left="227"/>
      </w:pPr>
      <w:r>
        <w:t>1. Descrever o uso real: tarefa, PROC (ex.: PROC 10 aplicação com rolo/pano; PROC 7 pulverização industrial; PROC 8b trasfega; PROC 15 laboratório), duração por turno, quantidade, concentração, temperatura, ventilação/captação e EPI.</w:t>
      </w:r>
    </w:p>
    <w:p>
      <w:pPr>
        <w:ind w:left="227"/>
      </w:pPr>
      <w:r>
        <w:t>2. Comparar com o título, os descritores e as condições operacionais e medidas de gestão de risco do CE (comparação direta).</w:t>
      </w:r>
    </w:p>
    <w:p>
      <w:pPr>
        <w:ind w:left="227"/>
      </w:pPr>
      <w:r>
        <w:t>3. Se as condições reais forem diferentes, verificar se estão dentro do CE por escalonamento (scaling) segundo as regras indicadas pelo fornecedor, ou estimar a exposição com ECETOC TRA.</w:t>
      </w:r>
    </w:p>
    <w:p>
      <w:pPr>
        <w:ind w:left="227"/>
      </w:pPr>
      <w:r>
        <w:t>4. Resultado: Coberto / Parcialmente coberto / Não coberto. Se não coberto escolher UMA ação: implementar as condições do CE; pedir ao fornecedor a inclusão do uso (art. 37.º, n.º 2); elaborar RSQ-UJ (art. 37.º, n.º 4) e comunicá-lo à ECHA em 6 meses (art. 38.º); substituir o produto/fornecedor; ou deixar de usar.</w:t>
      </w:r>
    </w:p>
    <w:p>
      <w:pPr>
        <w:ind w:left="227"/>
      </w:pPr>
      <w:r>
        <w:t>5. O prazo legal e o estado calculam-se sozinhos; qualquer 'Prazo legal ultrapassado' é uma não conformidade legal (abrir ação no PAM).</w:t>
      </w:r>
    </w:p>
    <w:p>
      <w:r>
        <w:rPr>
          <w:b/>
          <w:sz w:val="21"/>
        </w:rPr>
        <w:t>6.6 Registo REACH — quando é preciso e como se faz (folha Registo_Importacao)</w:t>
      </w:r>
    </w:p>
    <w:p>
      <w:pPr>
        <w:spacing w:after="80"/>
      </w:pPr>
      <w:r>
        <w:t>Regra de ouro: 'sem dados, não há mercado' — uma substância fabricada ou importada ≥ 1 t/ano por uma entidade jurídica tem de estar registada por ela. Para a Plasticom a pergunta é sempre: quem é o importador das compras de fora do EEE?</w:t>
      </w:r>
    </w:p>
    <w:p>
      <w:pPr>
        <w:ind w:left="227"/>
      </w:pPr>
      <w:r>
        <w:t>1. Para cada fornecedor preencher a linha: país, material, t/ano, importador legal, RU (nome e data da carta) e se a carta cita a Plasticom. A coluna Conclusao indica 'N.A.' (EEE), 'Coberto por RU', 'Utilizador a jusante (importador: …)' ou 'LACUNA'.</w:t>
      </w:r>
    </w:p>
    <w:p>
      <w:pPr>
        <w:ind w:left="227"/>
      </w:pPr>
      <w:r>
        <w:t>2. LACUNA → primeiro tentar resolver na cadeia: pedir ao fabricante extra-UE que nomeie um RU e inclua a Plasticom na lista de importadores cobertos; ou comprar a um importador UE. Até estar resolvido, não importar quantidades que somem ≥ 1 t/ano da substância em causa.</w:t>
      </w:r>
    </w:p>
    <w:p>
      <w:pPr>
        <w:ind w:left="227"/>
      </w:pPr>
      <w:r>
        <w:t>3. Se a Plasticom tiver mesmo de registar (monómeros ≥ 2% e ≥ 1 t/ano, ou aditivos ≥ 1 t/ano não registados a montante):</w:t>
      </w:r>
    </w:p>
    <w:p>
      <w:pPr>
        <w:ind w:left="227"/>
      </w:pPr>
      <w:r>
        <w:t>4.    a) Criar a conta da entidade jurídica em ECHA Accounts / REACH-IT e o objeto de entidade jurídica no IUCLID (dimensão PME comprovada para taxa reduzida).</w:t>
      </w:r>
    </w:p>
    <w:p>
      <w:pPr>
        <w:ind w:left="227"/>
      </w:pPr>
      <w:r>
        <w:t>5.    b) Identificar a substância (CAS/CE, composição) e verificar no REACH-IT se já existe registo conjunto; fazer o pedido de informação (inquiry, art. 26.º) se necessário.</w:t>
      </w:r>
    </w:p>
    <w:p>
      <w:pPr>
        <w:ind w:left="227"/>
      </w:pPr>
      <w:r>
        <w:t>6.    c) Contactar o registante principal (lead registrant) e comprar a carta de acesso (LoA) aos dados, na banda de tonelagem aplicável (1–10, 10–100, 100–1000, &gt; 1000 t/ano).</w:t>
      </w:r>
    </w:p>
    <w:p>
      <w:pPr>
        <w:ind w:left="227"/>
      </w:pPr>
      <w:r>
        <w:t>7.    d) Preparar o dossier IUCLID de membro: identidade, tonelagem, usos (descritores), orientação de uso seguro; a partir de 10 t/ano também o relatório de segurança química.</w:t>
      </w:r>
    </w:p>
    <w:p>
      <w:pPr>
        <w:ind w:left="227"/>
      </w:pPr>
      <w:r>
        <w:t>8.    e) Submeter no REACH-IT, pagar a taxa, responder à verificação de integridade técnica (completeness check) e guardar o n.º de registo (01-2119…-xx).</w:t>
      </w:r>
    </w:p>
    <w:p>
      <w:pPr>
        <w:ind w:left="227"/>
      </w:pPr>
      <w:r>
        <w:t>9.    f) Manter o registo atualizado (art. 22.º: mudança de tonelagem, novos usos, nova informação) e responder a pedidos de avaliação da ECHA.</w:t>
      </w:r>
    </w:p>
    <w:p>
      <w:pPr>
        <w:ind w:left="227"/>
      </w:pPr>
      <w:r>
        <w:t>10. Recuperação/reciclado: a isenção de registo de substâncias recuperadas (art. 2.º, n.º 7, al. d) só se aplica à recuperação na UE; reciclado importado de fora do EEE segue as regras de importação. Em caso de dúvida pedir parecer ao helpdesk REACH/CLP da DGAE.</w:t>
      </w:r>
    </w:p>
    <w:p>
      <w:pPr>
        <w:ind w:left="227"/>
      </w:pPr>
      <w:r>
        <w:t>11. Outros envios à ECHA com o mesmo acesso REACH-IT: relatório anual de microplásticos (6.8) e, se aplicável, notificação SCIP e art. 7.º, n.º 2 (6.7).</w:t>
      </w:r>
    </w:p>
    <w:p>
      <w:r>
        <w:rPr>
          <w:b/>
          <w:sz w:val="21"/>
        </w:rPr>
        <w:t>6.7 SVHC em artigos — art. 7.º, n.º 2, art. 33.º e SCIP (Declaracoes_SVHC no RG-SGA-21; conclusão por família em RG-SGA-20 tbl_familias_ppwr)</w:t>
      </w:r>
    </w:p>
    <w:p>
      <w:pPr>
        <w:ind w:left="227"/>
      </w:pPr>
      <w:r>
        <w:t>1. Em janeiro e junho (atualizações da lista candidata) atualizar o parâmetro P-01 e a lista vigiada (OBR-19 do RG-SGA-04).</w:t>
      </w:r>
    </w:p>
    <w:p>
      <w:pPr>
        <w:ind w:left="227"/>
      </w:pPr>
      <w:r>
        <w:t>2. Pedir a cada fornecedor declaração SVHC que indique a versão da lista coberta (n.º de entradas), mais metais pesados (PPWR), PFAS, BPA, ftalatos e DoC para contacto alimentar. Declarações com versão anterior ficam 'Desatualizada — pedir nova'.</w:t>
      </w:r>
    </w:p>
    <w:p>
      <w:pPr>
        <w:ind w:left="227"/>
      </w:pPr>
      <w:r>
        <w:t>3. Para cada família de embalagens calcular a concentração máxima de cada SVHC no ARTIGO (massa de SVHC ÷ massa do artigo; acórdão C-106/14: o limiar aplica-se a cada artigo). Ex.: frasco de 25 g com 0,15 g de tinta UV curada a 3% de fotoiniciador → 0,018% no frasco decorado.</w:t>
      </w:r>
    </w:p>
    <w:p>
      <w:pPr>
        <w:ind w:left="227"/>
      </w:pPr>
      <w:r>
        <w:t>4. Se &gt; 0,1% m/m: comunicar aos clientes (art. 33.º; ao consumidor em 45 dias, a pedido), notificar a base SCIP e, se &gt; 1 t/ano de SVHC no total, notificar a ECHA em 6 meses (art. 7.º, n.º 2).</w:t>
      </w:r>
    </w:p>
    <w:p>
      <w:pPr>
        <w:ind w:left="227"/>
      </w:pPr>
      <w:r>
        <w:t>5. 'Por confirmar' não é aceitável para expedir: obter declaração ou análise laboratorial (ex.: ftalatos por GC-MS, Pb/Cd por XRF).</w:t>
      </w:r>
    </w:p>
    <w:p>
      <w:r>
        <w:rPr>
          <w:b/>
          <w:sz w:val="21"/>
        </w:rPr>
        <w:t>6.8 Restrições, autorização e outras obrigações de produto (folha Requisitos_Legais)</w:t>
      </w:r>
    </w:p>
    <w:p>
      <w:pPr>
        <w:pStyle w:val="ListBullet"/>
      </w:pPr>
      <w:r>
        <w:t>Anexo XIV (autorização): nenhum componente do anexo XIV sem autorização própria ou do fornecedor (notificar a ECHA — art. 66.º).</w:t>
      </w:r>
    </w:p>
    <w:p>
      <w:pPr>
        <w:pStyle w:val="ListBullet"/>
      </w:pPr>
      <w:r>
        <w:t>Anexo XVII — relevantes para a Plasticom: 23 (cádmio em plásticos), 51 (ftalatos ≥ 0,1% em materiais plastificados), 63 (chumbo em PVC), 70 (D4/D5/D6), 74 (diisocianatos — formação), 78 (microplásticos — relatório anual até 31/05 dos dados do ano anterior no REACH-IT), 79 (PFHxA).</w:t>
      </w:r>
    </w:p>
    <w:p>
      <w:pPr>
        <w:pStyle w:val="ListBullet"/>
      </w:pPr>
      <w:r>
        <w:t>POP (Reg. 2019/1021): excluir UV-328, PFOA, PFHxS, decaBDE nas declarações.</w:t>
      </w:r>
    </w:p>
    <w:p>
      <w:pPr>
        <w:pStyle w:val="ListBullet"/>
      </w:pPr>
      <w:r>
        <w:t>Contacto alimentar: só substâncias da lista da União (Reg. 10/2011), sem BPA/bisfenóis (Reg. 2024/3190), declaração de conformidade dos fornecedores.</w:t>
      </w:r>
    </w:p>
    <w:p>
      <w:pPr>
        <w:pStyle w:val="ListBullet"/>
      </w:pPr>
      <w:r>
        <w:t>Biocidas: só produtos autorizados, usados conforme o rótulo (Reg. 528/2012).</w:t>
      </w:r>
    </w:p>
    <w:p>
      <w:r>
        <w:rPr>
          <w:b/>
          <w:sz w:val="21"/>
        </w:rPr>
        <w:t>6.9 Avaliação de risco químico — toxicidade (folhas Avaliacao_Risco, Metodologia e Medicoes_VLE)</w:t>
      </w:r>
    </w:p>
    <w:p>
      <w:pPr>
        <w:spacing w:after="80"/>
      </w:pPr>
      <w:r>
        <w:t>O DL 24/2012 obriga o empregador a avaliar e registar os riscos de todos os agentes químicos perigosos — incluindo os gerados no processo (ex.: acetaldeído na purga das ISBM) — e o DL 301/2000 (redação do DL 102/2024) acrescenta regras para cancerígenos, mutagénicos e reprotóxicos. O registo é feito por tarefa:</w:t>
      </w:r>
    </w:p>
    <w:p>
      <w:pPr>
        <w:ind w:left="227"/>
      </w:pPr>
      <w:r>
        <w:t>1. Uma linha por tarefa × produto: posto, função exposta, n.º de trabalhadores.</w:t>
      </w:r>
    </w:p>
    <w:p>
      <w:pPr>
        <w:ind w:left="227"/>
      </w:pPr>
      <w:r>
        <w:t>2. A classe de perigo (1–5) vem do inventário (a frase H/EUH mais grave); para agentes gerados usar Classe_Manual.</w:t>
      </w:r>
    </w:p>
    <w:p>
      <w:pPr>
        <w:ind w:left="227"/>
      </w:pPr>
      <w:r>
        <w:t>3. Escolher volatilidade/estado físico, procedimento (fechado, fechado com aberturas, aberto, dispersivo), proteção coletiva (a mais eficaz existente e com manutenção), superfície de pele exposta e frequência — SEM contar com os EPI.</w:t>
      </w:r>
    </w:p>
    <w:p>
      <w:pPr>
        <w:ind w:left="227"/>
      </w:pPr>
      <w:r>
        <w:t>4. O Excel calcula o risco por inalação (10^(classe−1) × volatilidade × procedimento × proteção) e cutâneo (10^(classe−1) × superfície × frequência): &gt; 1000 → P1 (medidas imediatas); 100–1000 → P2 (plano ≤ 6 meses); &lt; 100 → P3 (manter controlos). O método (adaptado de INRS ND 2233/Seirich) serve para PRIORIZAR; não substitui medições.</w:t>
      </w:r>
    </w:p>
    <w:p>
      <w:pPr>
        <w:ind w:left="227"/>
      </w:pPr>
      <w:r>
        <w:t>5. Regras que prevalecem sobre a pontuação: CMR 1A/1B → substituir se tecnicamente possível, sistema fechado, lista de trabalhadores expostos (conservar 40 anos; 5 anos para reprotóxicos) e vigilância da saúde; sensibilizantes (H317, H334, EUH204/208) → vigilância da saúde e luvas do material da secção 8; Protecao_Maternidade = 'Sim' → avaliar a tarefa para trabalhadoras grávidas, puérperas e lactantes e para menores (Lei 102/2009; CT art. 62.º).</w:t>
      </w:r>
    </w:p>
    <w:p>
      <w:pPr>
        <w:ind w:left="227"/>
      </w:pPr>
      <w:r>
        <w:t>6. Medidas pela hierarquia: eliminação → substituição → engenharia (captação, confinamento) → organizacionais → EPI (luvas EN ISO 374 do material indicado, filtros A2/P3).</w:t>
      </w:r>
    </w:p>
    <w:p>
      <w:pPr>
        <w:ind w:left="227"/>
      </w:pPr>
      <w:r>
        <w:t>7. Medir a exposição quando existe VLE e a prioridade é P1/P2 por inalação: estratégia NP EN 689 com laboratório acreditado; teste preliminar com 3 amostras &lt; 10% do VLE (4 &lt; 15%, 5 &lt; 20%) → conforme; senão medição periódica; &gt; VLE → ação imediata.</w:t>
      </w:r>
    </w:p>
    <w:p>
      <w:pPr>
        <w:ind w:left="227"/>
      </w:pPr>
      <w:r>
        <w:t>8. Rever a avaliação em cada alteração (produto, processo, ventilação), após medições desfavoráveis ou resultados da vigilância da saúde, e no máximo a cada 36 meses.</w:t>
      </w:r>
    </w:p>
    <w:p>
      <w:r>
        <w:rPr>
          <w:b/>
          <w:sz w:val="21"/>
        </w:rPr>
        <w:t>6.10 Armazenagem e compatibilidades (folhas Armazenagem e Matriz_Compatibilidade)</w:t>
      </w:r>
    </w:p>
    <w:p>
      <w:pPr>
        <w:pStyle w:val="ListBullet"/>
      </w:pPr>
      <w:r>
        <w:t>Cada produto tem um local ARM-nn; a folha calcula o stock e a retenção necessária = máx(100% do maior recipiente; 50% do total) — critério interno; confirmar condições da licença.</w:t>
      </w:r>
    </w:p>
    <w:p>
      <w:pPr>
        <w:pStyle w:val="ListBullet"/>
      </w:pPr>
      <w:r>
        <w:t>Segregar segundo a matriz e as secções 7 e 10 da FDS: inflamáveis × comburentes; ácidos × bases/hipoclorito (EUH031 liberta cloro); oxigénio × gases inflamáveis; aerossóis longe do calor.</w:t>
      </w:r>
    </w:p>
    <w:p>
      <w:pPr>
        <w:pStyle w:val="ListBullet"/>
      </w:pPr>
      <w:r>
        <w:t>Inflamáveis &gt; 50 L fora de armário EN 14470-1 = local de risco C (RT-SCIE); zonas ATEX identificadas no documento de proteção contra explosões (DL 236/2003).</w:t>
      </w:r>
    </w:p>
    <w:p>
      <w:pPr>
        <w:pStyle w:val="ListBullet"/>
      </w:pPr>
      <w:r>
        <w:t>Recipientes de trasfega sempre rotulados (nome e pictogramas); kit de derrame em cada local; inspeção na ronda ambiental mensal (RG-SGA-10).</w:t>
      </w:r>
    </w:p>
    <w:p>
      <w:r>
        <w:rPr>
          <w:b/>
          <w:sz w:val="21"/>
        </w:rPr>
        <w:t>6.11 Seveso (folha Seveso)</w:t>
      </w:r>
    </w:p>
    <w:p>
      <w:pPr>
        <w:spacing w:after="80"/>
      </w:pPr>
      <w:r>
        <w:t>Verificação anual e em cada alteração: a folha soma o Stock_Max_kg por categoria, divide pelos limiares do DL 150/2015 e aplica a regra da soma por grupo (saúde, físico, ambiente). Σ ≥ 1 no limiar inferior obriga a notificação à APA — comunicar de imediato ao Diretor Geral.</w:t>
      </w:r>
    </w:p>
    <w:p>
      <w:r>
        <w:rPr>
          <w:b/>
          <w:sz w:val="21"/>
        </w:rPr>
        <w:t>6.12 Receção, rotulagem e informação no posto</w:t>
      </w:r>
    </w:p>
    <w:p>
      <w:pPr>
        <w:pStyle w:val="ListBullet"/>
      </w:pPr>
      <w:r>
        <w:t>Na receção confirmar que o rótulo corresponde à FDS em vigor (nome, pictogramas, frases H) e ao ID do inventário; recusar embalagens danificadas ou sem rótulo em português.</w:t>
      </w:r>
    </w:p>
    <w:p>
      <w:pPr>
        <w:pStyle w:val="ListBullet"/>
      </w:pPr>
      <w:r>
        <w:t>Ficha-resumo no posto (perigos, EPI, primeiros socorros, derrame) gerada a partir das secções 2, 4, 6, 7 e 8 da FDS.</w:t>
      </w:r>
    </w:p>
    <w:p>
      <w:r>
        <w:rPr>
          <w:b/>
          <w:sz w:val="21"/>
        </w:rPr>
        <w:t>6.13 Formação e informação (registo por colaborador no RG-SGA-08: FOR-01, FOR-03, FOR-12 a FOR-15)</w:t>
      </w:r>
    </w:p>
    <w:p>
      <w:pPr>
        <w:pStyle w:val="ListBullet"/>
      </w:pPr>
      <w:r>
        <w:t>Todos os utilizadores: FDS, pictogramas CLP, EPI e resposta a derrames antes da primeira utilização.</w:t>
      </w:r>
    </w:p>
    <w:p>
      <w:pPr>
        <w:pStyle w:val="ListBullet"/>
      </w:pPr>
      <w:r>
        <w:t>Diisocianatos (≥ 0,1%, ex.: endurecedor da tinta 2K): formação de nível adequado ANTES do uso, renovada a cada 5 anos, com certificado (anexo XVII, entrada 74).</w:t>
      </w:r>
    </w:p>
    <w:p>
      <w:pPr>
        <w:pStyle w:val="ListBullet"/>
      </w:pPr>
      <w:r>
        <w:t>CMR: informação específica e registo; expedição de resíduos perigosos: ADR 1.3.</w:t>
      </w:r>
    </w:p>
    <w:p>
      <w:r>
        <w:rPr>
          <w:b/>
          <w:sz w:val="21"/>
        </w:rPr>
        <w:t>6.14 Emergência e resíduos</w:t>
      </w:r>
    </w:p>
    <w:p>
      <w:pPr>
        <w:spacing w:after="80"/>
      </w:pPr>
      <w:r>
        <w:t>Derrames e incêndios segundo PR-SGA-05, IT-SGA-01 e IT-SGA-02 (secções 4, 5 e 6 da FDS; CIAV 800 250 250). Resíduos de químicos classificados pelas propriedades HP com base na FDS e encaminhados segundo PR-SGA-04 (ex.: 14 06 03*, 15 01 10*, 13 01 10*).</w:t>
      </w:r>
    </w:p>
    <w:p>
      <w:r>
        <w:rPr>
          <w:b/>
          <w:sz w:val="21"/>
        </w:rPr>
        <w:t>6.15 Vigilância regulamentar e calendário (RG-SGA-04 tbl_obrigacoes OBR-11 e OBR-19 a OBR-30; parâmetros no RG-SGA-21)</w:t>
      </w:r>
    </w:p>
    <w:p>
      <w:pPr>
        <w:pStyle w:val="ListBullet"/>
      </w:pPr>
      <w:r>
        <w:t>Semestral: lista candidata (janeiro e junho), novas restrições e ATP do CLP; novas classes de perigo do Reg. 2023/707 (substâncias já no mercado até 01/11/2026; misturas até 01/05/2028); regras de rótulo do CLP revisto adiadas para 01/01/2028 (Reg. 2025/2439). Em 27/04/2026 a Comissão anunciou que não abrirá o texto do REACH, preferindo alterar os anexos — acompanhar.</w:t>
      </w:r>
    </w:p>
    <w:p>
      <w:pPr>
        <w:pStyle w:val="ListBullet"/>
      </w:pPr>
      <w:r>
        <w:t>Anual: inventário, declarações, Seveso, relatório de microplásticos (31/05), medições; granulado: notificação da instalação e declaração de conformidade até 17/12/2027 (Reg. 2025/2365).</w:t>
      </w:r>
    </w:p>
    <w:p>
      <w:pPr>
        <w:pStyle w:val="ListBullet"/>
      </w:pPr>
      <w:r>
        <w:t>As alterações relevantes entram na matriz Requisitos_Legais e no RG-SGA-04 (PR-SGA-03).</w:t>
      </w:r>
    </w:p>
    <w:p>
      <w:pPr>
        <w:spacing w:before="160"/>
      </w:pPr>
      <w:r>
        <w:rPr>
          <w:b/>
          <w:color w:val="1F4E5F"/>
          <w:sz w:val="23"/>
        </w:rPr>
        <w:t>7. Indicadores (folha Painel)</w:t>
      </w:r>
    </w:p>
    <w:p>
      <w:pPr>
        <w:spacing w:after="80"/>
      </w:pPr>
      <w:r>
        <w:t>Produtos CMR 1A/1B (meta 0); produtos com SVHC (meta 0); % de FDS em vigor conformes (meta ≥ 95%); cenários de exposição por implementar (meta 0); lacunas de registo (meta 0); declarações desatualizadas; tarefas P1; produtos perigosos sem avaliação; medições não conformes/inconclusivas; locais de armazenagem não conformes; formações em falta; obrigações em atraso; conclusão Seveso. Os indicadores são apresentados na revisão pela gestão (PR-SGA-11).</w:t>
      </w:r>
    </w:p>
    <w:p>
      <w:pPr>
        <w:spacing w:before="160"/>
      </w:pPr>
      <w:r>
        <w:rPr>
          <w:b/>
          <w:color w:val="1F4E5F"/>
          <w:sz w:val="23"/>
        </w:rPr>
        <w:t>8. Informação documentada (evidência de controlo REACH)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Evidência exigível</w:t>
            </w:r>
          </w:p>
        </w:tc>
        <w:tc>
          <w:tcPr>
            <w:tcW w:type="dxa" w:w="3969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Onde fica (RG-SGA-21)</w:t>
            </w:r>
          </w:p>
        </w:tc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Conservação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Papel REACH e verificação de fornecedores extra-UE (RU, importador)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Papel_REACH; Registo_Importacao; cartas de RU (anexas)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 (art. 36.º)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Inventário de produtos químicos e componentes perigosos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Inventario; Componentes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 após a última utilização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FDS recebidas (todas as versões) e verificação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FDS_Verificacao + arquivo PDF das FDS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Verificação dos cenários de exposição e medidas implementadas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Cenarios_Exposicao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Declarações de fornecedores e triagem SVHC dos artigos; SCIP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Declaracoes_SVHC; RG-SGA-20 tbl_familias_ppwr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Avaliação de riscos químicos e medições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Avaliacao_Risco; Medicoes_VLE; relatórios do laboratório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Enquanto válida + 10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Lista de trabalhadores expostos a CMR / reprotóxicos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Anexo à Avaliacao_Risco (RH / medicina do trabalho)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40 anos (reprotóxicos: 5 anos)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Armazenagem, compatibilidades e Seveso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Armazenagem; Matriz_Compatibilidade; Seveso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5 anos após substituição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Formação (diisocianatos, CMR, ADR)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RG-SGA-08 tbl_registo_formacao + certificados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Duração do vínculo + 5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Relatório de microplásticos e notificações à ECHA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RG-SGA-04 OBR-20 + comprovativos REACH-IT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 anos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Matriz legal, ações e análise crítica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Requisitos_Legais; Analise_Critica; ações no RG-SGA-06 (PAM)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5 anos após substituição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Anexo A — Verificação rápida antes de uma inspeção (ASAE / IGAMAOT / ACT)</w:t>
      </w:r>
    </w:p>
    <w:p>
      <w:pPr>
        <w:pStyle w:val="ListBullet"/>
      </w:pPr>
      <w:r>
        <w:t>Painel sem 'Atenção' nos indicadores de CMR, SVHC, FDS, cenários e lacunas de registo — ou com ação no PAM dentro do prazo.</w:t>
      </w:r>
    </w:p>
    <w:p>
      <w:pPr>
        <w:pStyle w:val="ListBullet"/>
      </w:pPr>
      <w:r>
        <w:t>Para 5 produtos ao acaso: rótulo no armazém = FDS em vigor = linha do inventário = local ARM correto = ficha no posto.</w:t>
      </w:r>
    </w:p>
    <w:p>
      <w:pPr>
        <w:pStyle w:val="ListBullet"/>
      </w:pPr>
      <w:r>
        <w:t>Para cada fornecedor extra-UE: carta de RU com a Plasticom na lista, ou prova de que o importador é outra entidade.</w:t>
      </w:r>
    </w:p>
    <w:p>
      <w:pPr>
        <w:pStyle w:val="ListBullet"/>
      </w:pPr>
      <w:r>
        <w:t>Cenários de exposição recebidos há mais de 12 meses: todos 'Conforme' ou 'Implementado'.</w:t>
      </w:r>
    </w:p>
    <w:p>
      <w:pPr>
        <w:pStyle w:val="ListBullet"/>
      </w:pPr>
      <w:r>
        <w:t>Comprovativo do relatório de microplásticos do último 31/05 e certificados de formação em diisocianatos válidos.</w:t>
      </w:r>
    </w:p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 Criado com o registo RG-SGA-21, após análise crítica do ficheiro de referência REACH 2024.xlsx e das fontes ECHA, EUR-Lex, DGAE, ACT e INRS.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PR-SGA-16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