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5F"/>
          <w:sz w:val="30"/>
        </w:rPr>
        <w:t>INDICADORES DE DESEMPENHO ENERGÉTICO, LINHAS DE BASE E NORMALIZAÇÃO (ISO 50006)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Código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Versão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Data de aprovação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Elaborado por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Aprovado por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Estado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PR-SGE-03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01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2026-12-18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Gestor(a) de Energia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Diretor Geral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Em vigor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1. Objetivo</w:t>
      </w:r>
    </w:p>
    <w:p>
      <w:pPr>
        <w:spacing w:after="80"/>
      </w:pPr>
      <w:r>
        <w:t>Estabelecer a metodologia para determinar, atualizar e usar os indicadores de desempenho energético (IDE) e as linhas de base energéticas (LBE), normalizar pelas variáveis relevantes e demonstrar a melhoria do desempenho energético. Esta metodologia é a informação documentada mantida exigida pela ISO 50001 6.4 e aplica a orientação da ISO 50006:2023.</w:t>
      </w:r>
    </w:p>
    <w:p>
      <w:pPr>
        <w:spacing w:before="160"/>
      </w:pPr>
      <w:r>
        <w:rPr>
          <w:b/>
          <w:color w:val="1F4E5F"/>
          <w:sz w:val="23"/>
        </w:rPr>
        <w:t>2. Âmbito</w:t>
      </w:r>
    </w:p>
    <w:p>
      <w:pPr>
        <w:spacing w:after="80"/>
      </w:pPr>
      <w:r>
        <w:t>Todos os IDE do SGE (instalação e USE) e respetivas LBE (RG-SGE-05).</w:t>
      </w:r>
    </w:p>
    <w:p>
      <w:pPr>
        <w:spacing w:before="160"/>
      </w:pPr>
      <w:r>
        <w:rPr>
          <w:b/>
          <w:color w:val="1F4E5F"/>
          <w:sz w:val="23"/>
        </w:rPr>
        <w:t>3. Referências normativas e requisitos</w:t>
      </w:r>
    </w:p>
    <w:p>
      <w:pPr>
        <w:pStyle w:val="ListBullet"/>
      </w:pPr>
      <w:r>
        <w:t>ISO 50001:2018 + Amd 1:2024 — 6.2, 6.4, 6.5, 9.1.1, 10.2</w:t>
      </w:r>
    </w:p>
    <w:p>
      <w:pPr>
        <w:pStyle w:val="ListBullet"/>
      </w:pPr>
      <w:r>
        <w:t>ISO 50006:2023 — secções 4 a 10 e anexos A a G (2.ª edição; substitui a ISO 50006:2014)</w:t>
      </w:r>
    </w:p>
    <w:p>
      <w:pPr>
        <w:pStyle w:val="ListBullet"/>
      </w:pPr>
      <w:r>
        <w:t>ISO 50015:2014 e ISO 50047:2016 — M&amp;V e poupanças</w:t>
      </w:r>
    </w:p>
    <w:p>
      <w:pPr>
        <w:pStyle w:val="ListBullet"/>
      </w:pPr>
      <w:r>
        <w:t>EVO — IPMVP Core Concepts</w:t>
      </w:r>
    </w:p>
    <w:p>
      <w:pPr>
        <w:pStyle w:val="ListBullet"/>
      </w:pPr>
      <w:r>
        <w:t>ASHRAE Guideline 14 — critérios estatísticos de modelos mensais</w:t>
      </w:r>
    </w:p>
    <w:p>
      <w:pPr>
        <w:pStyle w:val="ListBullet"/>
      </w:pPr>
      <w:r>
        <w:t>LBNL — EnPI Lite 'Valid model requirements' e 50001 Ready Navigator (tarefa 11)</w:t>
      </w:r>
    </w:p>
    <w:p>
      <w:pPr>
        <w:pStyle w:val="ListBullet"/>
      </w:pPr>
      <w:r>
        <w:t>ISO 50003:2021 — melhoria demonstrada para a certificação</w:t>
      </w:r>
    </w:p>
    <w:p>
      <w:pPr>
        <w:pStyle w:val="ListBullet"/>
      </w:pPr>
      <w:r>
        <w:t>Kent, R. / BPF — 'impressão digital' energética de fábricas de plásticos (carga de base + consumo proporcional)</w:t>
      </w:r>
    </w:p>
    <w:p>
      <w:pPr>
        <w:spacing w:before="80"/>
      </w:pPr>
      <w:r>
        <w:rPr>
          <w:b/>
          <w:sz w:val="21"/>
        </w:rPr>
        <w:t>Requisitos legais e outros requisitos aplicáveis</w:t>
      </w:r>
    </w:p>
    <w:p>
      <w:pPr>
        <w:pStyle w:val="ListBullet"/>
      </w:pPr>
      <w:r>
        <w:t>DL 71/2008 (SGCIE) — consumo específico e intensidade energética do PREn (RG-SGE-10)</w:t>
      </w:r>
    </w:p>
    <w:p>
      <w:pPr>
        <w:spacing w:before="160"/>
      </w:pPr>
      <w:r>
        <w:rPr>
          <w:b/>
          <w:color w:val="1F4E5F"/>
          <w:sz w:val="23"/>
        </w:rPr>
        <w:t>4. Definições (ISO 50006:2023, secção 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Termo</w:t>
            </w:r>
          </w:p>
        </w:tc>
        <w:tc>
          <w:tcPr>
            <w:tcW w:type="dxa" w:w="7087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Definição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Período de referência</w:t>
            </w:r>
          </w:p>
        </w:tc>
        <w:tc>
          <w:tcPr>
            <w:tcW w:type="dxa" w:w="7087"/>
          </w:tcPr>
          <w:p>
            <w:r>
              <w:rPr>
                <w:sz w:val="17"/>
              </w:rPr>
              <w:t>Período usado para comparação com o período de reporte (3.1.1).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Período de reporte</w:t>
            </w:r>
          </w:p>
        </w:tc>
        <w:tc>
          <w:tcPr>
            <w:tcW w:type="dxa" w:w="7087"/>
          </w:tcPr>
          <w:p>
            <w:r>
              <w:rPr>
                <w:sz w:val="17"/>
              </w:rPr>
              <w:t>Período em que se avalia o desempenho e a sua melhoria (3.1.16).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LBE</w:t>
            </w:r>
          </w:p>
        </w:tc>
        <w:tc>
          <w:tcPr>
            <w:tcW w:type="dxa" w:w="7087"/>
          </w:tcPr>
          <w:p>
            <w:r>
              <w:rPr>
                <w:sz w:val="17"/>
              </w:rPr>
              <w:t>Valor que serve de base de comparação do desempenho energético (3.1.4); os dados e o método são retidos.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IDE</w:t>
            </w:r>
          </w:p>
        </w:tc>
        <w:tc>
          <w:tcPr>
            <w:tcW w:type="dxa" w:w="7087"/>
          </w:tcPr>
          <w:p>
            <w:r>
              <w:rPr>
                <w:sz w:val="17"/>
              </w:rPr>
              <w:t>Medida usada para quantificar o desempenho energético (3.1.10); pode ser calculado com um modelo energético.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Modelo energético</w:t>
            </w:r>
          </w:p>
        </w:tc>
        <w:tc>
          <w:tcPr>
            <w:tcW w:type="dxa" w:w="7087"/>
          </w:tcPr>
          <w:p>
            <w:r>
              <w:rPr>
                <w:sz w:val="17"/>
              </w:rPr>
              <w:t>Representação matemática da relação entre variáveis relevantes e consumo ou eficiência num período (3.1.8).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Variável relevante</w:t>
            </w:r>
          </w:p>
        </w:tc>
        <w:tc>
          <w:tcPr>
            <w:tcW w:type="dxa" w:w="7087"/>
          </w:tcPr>
          <w:p>
            <w:r>
              <w:rPr>
                <w:sz w:val="17"/>
              </w:rPr>
              <w:t>Fator quantificável que afeta significativamente o desempenho e muda com frequência (3.1.15) — ex.: produção, temperatura.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Fator estático</w:t>
            </w:r>
          </w:p>
        </w:tc>
        <w:tc>
          <w:tcPr>
            <w:tcW w:type="dxa" w:w="7087"/>
          </w:tcPr>
          <w:p>
            <w:r>
              <w:rPr>
                <w:sz w:val="17"/>
              </w:rPr>
              <w:t>Fator que afeta significativamente o desempenho mas não muda com frequência (3.1.18) — ex.: n.º de máquinas, turnos, mix.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Normalização</w:t>
            </w:r>
          </w:p>
        </w:tc>
        <w:tc>
          <w:tcPr>
            <w:tcW w:type="dxa" w:w="7087"/>
          </w:tcPr>
          <w:p>
            <w:r>
              <w:rPr>
                <w:sz w:val="17"/>
              </w:rPr>
              <w:t>Processo que permite a análise em condições equivalentes ou normalizadas (3.1.13).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Melhoria do desempenho energético</w:t>
            </w:r>
          </w:p>
        </w:tc>
        <w:tc>
          <w:tcPr>
            <w:tcW w:type="dxa" w:w="7087"/>
          </w:tcPr>
          <w:p>
            <w:r>
              <w:rPr>
                <w:sz w:val="17"/>
              </w:rPr>
              <w:t>Melhoria mensurável da eficiência ou do consumo, face à LBE (3.1.11).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5.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6803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Responsabilidade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Gestor(a) de Energia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Dono da metodologia e do IDE-01; calcula e valida os modelos.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Donos dos IDE (tbl_kpi)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Acompanham, analisam e reportam o seu IDE (ISO 50006 tab. 1 — 'EnPI owner').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Equipa de gestão de energia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Aprova IDE, LBE e alterações.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Diretor Geral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Assegura que os IDE representam o desempenho (5.1 l).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6. Descrição do processo</w:t>
      </w:r>
    </w:p>
    <w:p>
      <w:pPr>
        <w:spacing w:before="80"/>
      </w:pPr>
      <w:r>
        <w:rPr>
          <w:b/>
          <w:sz w:val="21"/>
        </w:rPr>
        <w:t>6.1 Utilizadores e fronteiras (ISO 50006 §5.2–5.3)</w:t>
      </w:r>
    </w:p>
    <w:p>
      <w:pPr>
        <w:ind w:left="227"/>
      </w:pPr>
      <w:r>
        <w:t>1. Identificar os utilizadores de cada IDE (gestão de topo, equipa, produção, engenheiros, externos) e as decisões que o IDE suporta.</w:t>
      </w:r>
    </w:p>
    <w:p>
      <w:pPr>
        <w:ind w:left="227"/>
      </w:pPr>
      <w:r>
        <w:t>2. Definir a fronteira de cada IDE: instalação (IDE-01/02/05/09), USE (IDE-03/04/06/07) ou fronteira de medida (IDE-08). A fronteira deve poder ser medida.</w:t>
      </w:r>
    </w:p>
    <w:p>
      <w:pPr>
        <w:spacing w:before="80"/>
      </w:pPr>
      <w:r>
        <w:rPr>
          <w:b/>
          <w:sz w:val="21"/>
        </w:rPr>
        <w:t>6.2 Variáveis relevantes e fatores estáticos (§5.5)</w:t>
      </w:r>
    </w:p>
    <w:p>
      <w:pPr>
        <w:ind w:left="227"/>
      </w:pPr>
      <w:r>
        <w:t>1. Listar as variáveis candidatas (tbl_variaveis) e calcular a correlação com o consumo nos 12 meses de referência.</w:t>
      </w:r>
    </w:p>
    <w:p>
      <w:pPr>
        <w:ind w:left="227"/>
      </w:pPr>
      <w:r>
        <w:t>2. Aceitar uma variável se for significativa no modelo (p &lt; 0,2) e tiver explicação física; preferir variáveis de saída útil (unidades) a variáveis de esforço (horas), para não esconder perdas.</w:t>
      </w:r>
    </w:p>
    <w:p>
      <w:pPr>
        <w:ind w:left="227"/>
      </w:pPr>
      <w:r>
        <w:t>3. Listar os fatores estáticos e a sua condição na LBE (tbl_fatores_estaticos); revê-los trimestralmente.</w:t>
      </w:r>
    </w:p>
    <w:p>
      <w:pPr>
        <w:spacing w:before="80"/>
      </w:pPr>
      <w:r>
        <w:rPr>
          <w:b/>
          <w:sz w:val="21"/>
        </w:rPr>
        <w:t>6.3 Escolha do tipo de IDE (§6.2)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Tipo de IDE</w:t>
            </w:r>
          </w:p>
        </w:tc>
        <w:tc>
          <w:tcPr>
            <w:tcW w:type="dxa" w:w="3402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Quando usar</w:t>
            </w:r>
          </w:p>
        </w:tc>
        <w:tc>
          <w:tcPr>
            <w:tcW w:type="dxa" w:w="3969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Exemplo na Plasticom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Valor de energia medido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Relato e consumo absoluto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IDE-09 energia final (MWh)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Rácio de valores medidos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Uma entrada e uma saída; poucas variáveis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IDE-02 kWh/1.000 un; IDE-08 kWh/Nm³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Modelo estatístico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Várias variáveis relevantes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IDE-01 regressão com unidades e graus-dia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Modelo de engenharia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Projetos, simulação, sistemas interdependentes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Previsão da UPAC (futuro)</w:t>
            </w:r>
          </w:p>
        </w:tc>
      </w:tr>
    </w:tbl>
    <w:p/>
    <w:p>
      <w:pPr>
        <w:spacing w:before="80"/>
      </w:pPr>
      <w:r>
        <w:rPr>
          <w:b/>
          <w:sz w:val="21"/>
        </w:rPr>
        <w:t>6.4 Período de referência e LBE (§7)</w:t>
      </w:r>
    </w:p>
    <w:p>
      <w:pPr>
        <w:ind w:left="227"/>
      </w:pPr>
      <w:r>
        <w:t>1. Usar 12 meses completos para cobrir o ciclo anual de temperatura; a LBE-01 usa mar/2025–fev/2026 (termina antes dos compressores VSD para que o seu efeito seja visível).</w:t>
      </w:r>
    </w:p>
    <w:p>
      <w:pPr>
        <w:ind w:left="227"/>
      </w:pPr>
      <w:r>
        <w:t>2. Calcular o modelo com LINEST no próprio Excel (RG-SGE-05 LBE_Modelo): kWh = a + b1 × mil unidades (INJ+SOP) + b2 × graus-dia base 15 °C.</w:t>
      </w:r>
    </w:p>
    <w:p>
      <w:pPr>
        <w:ind w:left="227"/>
      </w:pPr>
      <w:r>
        <w:t>3. Registar a LBE em tbl_lbe com o método, o período, o R² e o resultado dos testes.</w:t>
      </w:r>
    </w:p>
    <w:p>
      <w:pPr>
        <w:spacing w:before="80"/>
      </w:pPr>
      <w:r>
        <w:rPr>
          <w:b/>
          <w:sz w:val="21"/>
        </w:rPr>
        <w:t>6.5 Validade estatística do modelo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Teste</w:t>
            </w:r>
          </w:p>
        </w:tc>
        <w:tc>
          <w:tcPr>
            <w:tcW w:type="dxa" w:w="3969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Critério</w:t>
            </w:r>
          </w:p>
        </w:tc>
        <w:tc>
          <w:tcPr>
            <w:tcW w:type="dxa" w:w="3402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Fonte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R²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≥ 0,50 (mínimo); &gt; 0,75 recomendado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EnPI Lite (LBNL); ASHRAE 14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p-valor das variáveis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Todas &lt; 0,20; pelo menos uma &lt; 0,10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EnPI Lite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Teste F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p &lt; 0,10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EnPI Lite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CV(RMSE)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≤ 15% (dados mensais)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ASHRAE 14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NMBE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entre −5% e +5%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ASHRAE 14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Resultado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Válido; válido com reserva (1 teste falha — justificar); não válido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Decisão da equipa</w:t>
            </w:r>
          </w:p>
        </w:tc>
      </w:tr>
    </w:tbl>
    <w:p/>
    <w:p>
      <w:pPr>
        <w:spacing w:before="80"/>
      </w:pPr>
      <w:r>
        <w:rPr>
          <w:b/>
          <w:sz w:val="21"/>
        </w:rPr>
        <w:t>6.6 Normalização e domínio de validade (§8)</w:t>
      </w:r>
    </w:p>
    <w:p>
      <w:pPr>
        <w:ind w:left="227"/>
      </w:pPr>
      <w:r>
        <w:t>1. Energia esperada do mês = modelo da LBE aplicado às variáveis do mês; melhoria = (esperado − real) ÷ esperado.</w:t>
      </w:r>
    </w:p>
    <w:p>
      <w:pPr>
        <w:ind w:left="227"/>
      </w:pPr>
      <w:r>
        <w:t>2. Só normalizar dentro do domínio: variáveis dentro do intervalo da referência ± 10%. Fora do domínio o mês não entra na demonstração da melhoria.</w:t>
      </w:r>
    </w:p>
    <w:p>
      <w:pPr>
        <w:ind w:left="227"/>
      </w:pPr>
      <w:r>
        <w:t>3. Aplicar ajustes não rotineiros quando mudam os fatores estáticos (ex.: ALE-01 — 4 máquinas novas: retirar do real a energia atribuível e das variáveis as suas unidades).</w:t>
      </w:r>
    </w:p>
    <w:p>
      <w:pPr>
        <w:spacing w:before="80"/>
      </w:pPr>
      <w:r>
        <w:rPr>
          <w:b/>
          <w:sz w:val="21"/>
        </w:rPr>
        <w:t>6.7 Desvio significativo, CUSUM e demonstração da melhoria (§10)</w:t>
      </w:r>
    </w:p>
    <w:p>
      <w:pPr>
        <w:ind w:left="227"/>
      </w:pPr>
      <w:r>
        <w:t>1. Desvio significativo mensal: |real − esperado| &gt; t(95%) × erro-padrão do modelo → investigar (PR-SGE-08).</w:t>
      </w:r>
    </w:p>
    <w:p>
      <w:pPr>
        <w:ind w:left="227"/>
      </w:pPr>
      <w:r>
        <w:t>2. Acompanhar o CUSUM (soma acumulada de real − esperado): declive negativo = poupança sustentada.</w:t>
      </w:r>
    </w:p>
    <w:p>
      <w:pPr>
        <w:ind w:left="227"/>
      </w:pPr>
      <w:r>
        <w:t>3. Demonstração: somar o esperado e o real dos meses válidos do período; a melhoria é demonstrada se a poupança exceder a incerteza a 95% ≈ t × erro-padrão × √m.</w:t>
      </w:r>
    </w:p>
    <w:p>
      <w:pPr>
        <w:ind w:left="227"/>
      </w:pPr>
      <w:r>
        <w:t>4. Confirmar com as poupanças verificadas por ação (opções A/B) — devem ser coerentes com a instalação (opção C).</w:t>
      </w:r>
    </w:p>
    <w:p>
      <w:pPr>
        <w:spacing w:before="80"/>
      </w:pPr>
      <w:r>
        <w:rPr>
          <w:b/>
          <w:sz w:val="21"/>
        </w:rPr>
        <w:t>6.8 Revisão das LBE (6.5)</w:t>
      </w:r>
    </w:p>
    <w:p>
      <w:pPr>
        <w:pStyle w:val="ListBullet"/>
      </w:pPr>
      <w:r>
        <w:t>a) Os IDE deixam de representar o desempenho (ex.: submedição desde 15/12/2026 → LBE por USE medidas).</w:t>
      </w:r>
    </w:p>
    <w:p>
      <w:pPr>
        <w:pStyle w:val="ListBullet"/>
      </w:pPr>
      <w:r>
        <w:t>b) Alterações significativas de fatores estáticos (tbl_fatores_estaticos).</w:t>
      </w:r>
    </w:p>
    <w:p>
      <w:pPr>
        <w:pStyle w:val="ListBullet"/>
      </w:pPr>
      <w:r>
        <w:t>c) Método predeterminado: revisão anual com a revisão energética.</w:t>
      </w:r>
    </w:p>
    <w:p>
      <w:pPr>
        <w:pStyle w:val="ListBullet"/>
      </w:pPr>
      <w:r>
        <w:t>Cada alteração é retida em tbl_alteracoes_lbe com a justificação.</w:t>
      </w:r>
    </w:p>
    <w:p>
      <w:pPr>
        <w:spacing w:before="160"/>
      </w:pPr>
      <w:r>
        <w:rPr>
          <w:b/>
          <w:color w:val="1F4E5F"/>
          <w:sz w:val="23"/>
        </w:rPr>
        <w:t>7. Resultado de referência (31/12/2026)</w:t>
      </w:r>
    </w:p>
    <w:p>
      <w:pPr>
        <w:spacing w:after="80"/>
      </w:pPr>
      <w:r>
        <w:t>LBE-01: R² 0,75; CV(RMSE) 2,8%; carga de base ≈ 17%; válida com reserva (p-valor dos graus-dia 0,27). Mar–dez/2026: melhoria de 1,9% (100 MWh), dentro da incerteza de 106 MWh (não demonstrada). Out–dez/2026, após o standby e o programa de ar comprimido: melhoria de 5,4% (92 MWh) &gt; incerteza (61 MWh) — demonstrada e coerente, dentro da incerteza, com 71 MWh verificados por ação.</w:t>
      </w:r>
    </w:p>
    <w:p>
      <w:pPr>
        <w:spacing w:before="160"/>
      </w:pPr>
      <w:r>
        <w:rPr>
          <w:b/>
          <w:color w:val="1F4E5F"/>
          <w:sz w:val="23"/>
        </w:rPr>
        <w:t>8. Informação documentada (evidência)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Registo</w:t>
            </w:r>
          </w:p>
        </w:tc>
        <w:tc>
          <w:tcPr>
            <w:tcW w:type="dxa" w:w="737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Tabelas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RG-SGE-05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tbl_base_energia, tbl_ide_mensal, LBE_Modelo, tbl_variaveis, tbl_kpi, tbl_lbe, tbl_alteracoes_lbe, tbl_fatores_estaticos, Metodologia_IDE_LBE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RG-SGE-11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tbl_desvios, tbl_mv_planos, tbl_poupancas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Histórico de revisões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Versão</w:t>
            </w:r>
          </w:p>
        </w:tc>
        <w:tc>
          <w:tcPr>
            <w:tcW w:type="dxa" w:w="1701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Data</w:t>
            </w:r>
          </w:p>
        </w:tc>
        <w:tc>
          <w:tcPr>
            <w:tcW w:type="dxa" w:w="6803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Alteração</w:t>
            </w:r>
          </w:p>
        </w:tc>
      </w:tr>
      <w:tr>
        <w:tc>
          <w:tcPr>
            <w:tcW w:type="dxa" w:w="1134"/>
          </w:tcPr>
          <w:p>
            <w:r>
              <w:rPr>
                <w:sz w:val="17"/>
              </w:rPr>
              <w:t>00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2026-09-29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Emissão inicial (ISO 50006:2023).</w:t>
            </w:r>
          </w:p>
        </w:tc>
      </w:tr>
      <w:tr>
        <w:tc>
          <w:tcPr>
            <w:tcW w:type="dxa" w:w="1134"/>
          </w:tcPr>
          <w:p>
            <w:r>
              <w:rPr>
                <w:sz w:val="17"/>
              </w:rPr>
              <w:t>01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2026-12-18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Demonstração no período após as ações; decisão RD-E-26-D03 sobre a reserva da LBE-01.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08080"/>
        <w:sz w:val="14"/>
      </w:rPr>
      <w:t>Documento controlado: a versão eletrónica em Documentos_SGE_Plasticom é a versão em vigor; cópias impressas não são controladas (PR-SGA-08).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06060"/>
        <w:sz w:val="16"/>
      </w:rPr>
      <w:t>PLASTICOM — Sistema de Gestão da Energia (NP EN ISO 50001:2019 (ISO 50001:2018 + Amd 1:2024))    |    PR-SGE-03 rev.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