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COMPETÊNCIA, CONSCIENCIALIZAÇÃO E COMUNICAÇÃO DO SGE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PR-SGE-09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Assegurar a competência das pessoas que afetam o desempenho energético, a consciencialização de todos, a comunicação e o processo de sugestões.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Todas as pessoas que trabalham para a Plasticom ou em seu nome.</w:t>
      </w:r>
    </w:p>
    <w:p>
      <w:pPr>
        <w:spacing w:before="160"/>
      </w:pPr>
      <w:r>
        <w:rPr>
          <w:b/>
          <w:color w:val="1F4E5F"/>
          <w:sz w:val="23"/>
        </w:rPr>
        <w:t>3. Referências normativas e requisitos</w:t>
      </w:r>
    </w:p>
    <w:p>
      <w:pPr>
        <w:pStyle w:val="ListBullet"/>
      </w:pPr>
      <w:r>
        <w:t>NP EN ISO 50001:2019 (ISO 50001:2018 + Amd 1:2024 — Climate action changes)</w:t>
      </w:r>
    </w:p>
    <w:p>
      <w:pPr>
        <w:pStyle w:val="ListBullet"/>
      </w:pPr>
      <w:r>
        <w:t>ISO 50004:2020 — orientação para implementar, manter e melhorar um SGE</w:t>
      </w:r>
    </w:p>
    <w:p>
      <w:pPr>
        <w:pStyle w:val="ListBullet"/>
      </w:pPr>
      <w:r>
        <w:t>ISO 50001 7.2, 7.3, 7.4</w:t>
      </w:r>
    </w:p>
    <w:p>
      <w:pPr>
        <w:pStyle w:val="ListBullet"/>
      </w:pPr>
      <w:r>
        <w:t>ISO 10015 (gestão da competência)</w:t>
      </w:r>
    </w:p>
    <w:p>
      <w:pPr>
        <w:pStyle w:val="ListBullet"/>
      </w:pPr>
      <w:r>
        <w:t>ISO 50003:2021 (competência de auditores)</w:t>
      </w:r>
    </w:p>
    <w:p>
      <w:pPr>
        <w:spacing w:before="80"/>
      </w:pPr>
      <w:r>
        <w:rPr>
          <w:b/>
          <w:sz w:val="21"/>
        </w:rPr>
        <w:t>Requisitos legais e outros requisitos aplicáveis</w:t>
      </w:r>
    </w:p>
    <w:p>
      <w:pPr>
        <w:pStyle w:val="ListBullet"/>
      </w:pPr>
      <w:r>
        <w:t>Código do Trabalho, arts. 130.º–134.º (formação contínua)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RH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Plano e registos de formação.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Gestor(a) de Energia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Requisitos de competência, consciencialização, comunicação e sugestões.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Definir por função os requisitos de competência ligados aos USE (tbl_competencias).</w:t>
      </w:r>
    </w:p>
    <w:p>
      <w:pPr>
        <w:ind w:left="227"/>
      </w:pPr>
      <w:r>
        <w:t>2. Planear e realizar a formação (tbl_formacoes); registar e avaliar a eficácia até ao nível 3 de Kirkpatrick (tbl_registo_formacao).</w:t>
      </w:r>
    </w:p>
    <w:p>
      <w:pPr>
        <w:ind w:left="227"/>
      </w:pPr>
      <w:r>
        <w:t>3. Consciencializar para a política, a contribuição de cada um, o impacto do seu comportamento e as consequências de não cumprir (7.3 a–d) — tbl_consciencializacao.</w:t>
      </w:r>
    </w:p>
    <w:p>
      <w:pPr>
        <w:ind w:left="227"/>
      </w:pPr>
      <w:r>
        <w:t>4. Comunicar segundo a matriz o quê/quando/a quem/como/quem, com informação coerente com os registos do SGE (tbl_comunicacao).</w:t>
      </w:r>
    </w:p>
    <w:p>
      <w:pPr>
        <w:ind w:left="227"/>
      </w:pPr>
      <w:r>
        <w:t>5. Receber sugestões por caixa, app ou e-mail; responder ao proponente em ≤ 15 dias e ligar a oportunidades ou controlos (tbl_sugestoes).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(Registos_SGE_Plasticom)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RG-SGE-07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tbl_competencias, tbl_formacoes, tbl_registo_formacao, tbl_consciencializacao, tbl_comunicacao, tbl_sugestoes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PR-SGE-09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