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GESTÃO DE RESÍDUOS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PR-SGA-04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02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2025-11-20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Assegurar a separação, armazenagem, classificação, transporte e encaminhamento dos resíduos para operadores licenciados, privilegiando a valorização.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Todos os resíduos produzidos na Unidade 1 (scrap, embalagens, perigosos, indiferenciados).</w:t>
      </w:r>
    </w:p>
    <w:p>
      <w:pPr>
        <w:spacing w:before="160"/>
      </w:pPr>
      <w:r>
        <w:rPr>
          <w:b/>
          <w:color w:val="1F4E5F"/>
          <w:sz w:val="23"/>
        </w:rPr>
        <w:t>3. Referências</w:t>
      </w:r>
    </w:p>
    <w:p>
      <w:pPr>
        <w:pStyle w:val="ListBullet"/>
      </w:pPr>
      <w:r>
        <w:t>RGGR (DL 102-D/2020)</w:t>
      </w:r>
    </w:p>
    <w:p>
      <w:pPr>
        <w:pStyle w:val="ListBullet"/>
      </w:pPr>
      <w:r>
        <w:t>Portaria 145/2017 (e-GAR)</w:t>
      </w:r>
    </w:p>
    <w:p>
      <w:pPr>
        <w:pStyle w:val="ListBullet"/>
      </w:pPr>
      <w:r>
        <w:t>ISO 14001:2026 8.1</w:t>
      </w:r>
    </w:p>
    <w:p>
      <w:pPr>
        <w:spacing w:before="160"/>
      </w:pPr>
      <w:r>
        <w:rPr>
          <w:b/>
          <w:color w:val="1F4E5F"/>
          <w:sz w:val="23"/>
        </w:rPr>
        <w:t>4.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Responsável de Armazém e Logística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Parque de resíduos, e-GAR e conferência mensal no SILiAmb.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Chefes de turno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Segregação na origem.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Gestor do SGA / EHS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MIRR anual e avaliação de operadores.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Descrição do processo</w:t>
      </w:r>
    </w:p>
    <w:p>
      <w:pPr>
        <w:ind w:left="227"/>
      </w:pPr>
      <w:r>
        <w:t>1. Separar na origem por código LER em contentores identificados; perigosos em bacia e sob cobertura.</w:t>
      </w:r>
    </w:p>
    <w:p>
      <w:pPr>
        <w:ind w:left="227"/>
      </w:pPr>
      <w:r>
        <w:t>2. Reintegrar scrap limpo por moagem sempre que a qualidade o permita (regrind).</w:t>
      </w:r>
    </w:p>
    <w:p>
      <w:pPr>
        <w:ind w:left="227"/>
      </w:pPr>
      <w:r>
        <w:t>3. Emitir e-GAR antes de cada transporte e confirmar a receção pelo destinatário (conferência mensal).</w:t>
      </w:r>
    </w:p>
    <w:p>
      <w:pPr>
        <w:ind w:left="227"/>
      </w:pPr>
      <w:r>
        <w:t>4. Usar apenas operadores com licença válida para os LER entregues (tbl_outros_fornecedores).</w:t>
      </w:r>
    </w:p>
    <w:p>
      <w:pPr>
        <w:ind w:left="227"/>
      </w:pPr>
      <w:r>
        <w:t>5. Pesar e registar mensalmente por LER; submeter o MIRR até 31 de março.</w:t>
      </w:r>
    </w:p>
    <w:p>
      <w:pPr>
        <w:spacing w:before="160"/>
      </w:pPr>
      <w:r>
        <w:rPr>
          <w:b/>
          <w:color w:val="1F4E5F"/>
          <w:sz w:val="23"/>
        </w:rPr>
        <w:t>6.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(Registos_SGA_Plasticom)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RG-SGA-13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tbl_residuos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RG-SGA-11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tbl_outros_fornecedores (OGR-01, OGR-06)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RG-SGA-10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tbl_execucao_rondas (RON-07, RON-08)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2024-06-01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Inclusão do regrind.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02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2025-11-20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Conferência mensal de e-GAR após NC-SGA-25-02.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PR-SGA-04 rev.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