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INVENTÁRIO DE GASES COM EFEITO DE ESTUFA E INDICADORES ESG AMBIENTAIS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PR-SGA-13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Quantificar anualmente as emissões de GEE (âmbitos 1, 2 e 3) e os indicadores ambientais ESG com um método reprodutível, rastreável e comparável entre anos, para metas, clientes (CDP, EcoVadis) e relato voluntário (VSME).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Unidade 1 da Plasticom (controlo operacional); âmbito 3 com as categorias relevantes (1, 3, 4, 5, 6, 7, 9, 12). Ano de reporte: setembro a agosto; ano-base 2025/26.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GHG Protocol Corporate Standard e Scope 2 Guidance</w:t>
      </w:r>
    </w:p>
    <w:p>
      <w:pPr>
        <w:pStyle w:val="ListBullet"/>
      </w:pPr>
      <w:r>
        <w:t>ISO 14064-1:2018</w:t>
      </w:r>
    </w:p>
    <w:p>
      <w:pPr>
        <w:pStyle w:val="ListBullet"/>
      </w:pPr>
      <w:r>
        <w:t>EFRAG VSME (módulo básico B3 a B7)</w:t>
      </w:r>
    </w:p>
    <w:p>
      <w:pPr>
        <w:pStyle w:val="ListBullet"/>
      </w:pPr>
      <w:r>
        <w:t>ESRS E1 a E5; GRI 301–308; SASB RT-CP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Responsável pelo inventário, fatores e relatório.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Gerente de Manutenção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Dados de energia, gasóleo e gases fluorados.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Compras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Quantidades compradas e PCF de fornecedores.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Financeiro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Faturação e custos (intensidades).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Diretor Geral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Aprova o inventário e as metas.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Registar mensalmente os dados de atividade no inventário (tbl_inventario_gee): faturas, cartões de frota, recargas F-gas, compras de materiais, resíduos por destino e pressupostos de deslocações e transporte.</w:t>
      </w:r>
    </w:p>
    <w:p>
      <w:pPr>
        <w:ind w:left="227"/>
      </w:pPr>
      <w:r>
        <w:t>2. Usar os fatores de emissão da tbl_fatores_emissao com fonte, ano e qualidade; atualizar anualmente (APA/ERSE, AIB, DEFRA, eco-perfis) e registar a alteração.</w:t>
      </w:r>
    </w:p>
    <w:p>
      <w:pPr>
        <w:ind w:left="227"/>
      </w:pPr>
      <w:r>
        <w:t>3. Reportar o âmbito 2 pelos dois métodos (location-based e market-based); as metas usam o market-based; nunca somar os dois.</w:t>
      </w:r>
    </w:p>
    <w:p>
      <w:pPr>
        <w:ind w:left="227"/>
      </w:pPr>
      <w:r>
        <w:t>4. Classificar a qualidade de cada dado (medido, calculado, estimado) e substituir progressivamente estimativas do âmbito 3 por dados primários (PCF de fornecedores).</w:t>
      </w:r>
    </w:p>
    <w:p>
      <w:pPr>
        <w:ind w:left="227"/>
      </w:pPr>
      <w:r>
        <w:t>5. Recalcular o ano-base se houver alteração estrutural, de método ou erro com efeito ≥ 5% no total.</w:t>
      </w:r>
    </w:p>
    <w:p>
      <w:pPr>
        <w:ind w:left="227"/>
      </w:pPr>
      <w:r>
        <w:t>6. Calcular os indicadores ESG (tbl_indicadores_esg) e a pegada por produto (tbl_pegada_produto); rever a matriz de requisitos ESG (tbl_matriz_esg).</w:t>
      </w:r>
    </w:p>
    <w:p>
      <w:pPr>
        <w:ind w:left="227"/>
      </w:pPr>
      <w:r>
        <w:t>7. Submeter o inventário à revisão pela gestão e, antes de publicar, a verificação limitada por terceira parte (ISO 14064-3).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RG-SGA-19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tbl_fatores_emissao, tbl_inventario_gee, Calculadora_GEE, tbl_metas_clima, tbl_pegada_produto, tbl_indicadores_esg, tbl_matriz_esg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RG-SGA-13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tbl_dados_ambientais, tbl_meses, tbl_residuos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RG-SGA-10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tbl_manutencao_ambiental (F-gas)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com o ano-base 2025/26.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PR-SGA-13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