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CONCEÇÃO PARA RECICLAGEM E CONFORMIDADE DE EMBALAGENS (PPWR, RECYCLASS)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PR-SGA-15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do SGA / EHS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Garantir que cada embalagem da Plasticom é concebida para a reciclagem, cumpre os requisitos do Reg. (UE) 2025/40 (PPWR) e da legislação de segurança dos materiais, e que a reciclabilidade e o conteúdo reciclado são avaliados, documentados e comunicados com evidência.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Todos os SKUs de frascos, potes e tampas (cosmética, alimentar, farmacêutico), novos projetos e alterações de material, cor, decoração ou componente; embalagens de expedição.</w:t>
      </w:r>
    </w:p>
    <w:p>
      <w:pPr>
        <w:spacing w:before="160"/>
      </w:pPr>
      <w:r>
        <w:rPr>
          <w:b/>
          <w:color w:val="1F4E5F"/>
          <w:sz w:val="23"/>
        </w:rPr>
        <w:t>3. Referências</w:t>
      </w:r>
    </w:p>
    <w:p>
      <w:pPr>
        <w:pStyle w:val="ListBullet"/>
      </w:pPr>
      <w:r>
        <w:t>Reg. (UE) 2025/40 (PPWR), arts. 5.º a 7.º, 10.º, 12.º e anexos II e VII</w:t>
      </w:r>
    </w:p>
    <w:p>
      <w:pPr>
        <w:pStyle w:val="ListBullet"/>
      </w:pPr>
      <w:r>
        <w:t>Regs. (CE) 1935/2004, 2023/2006 e (UE) 10/2011, 2022/1616</w:t>
      </w:r>
    </w:p>
    <w:p>
      <w:pPr>
        <w:pStyle w:val="ListBullet"/>
      </w:pPr>
      <w:r>
        <w:t>DL 152-D/2017 (UNILEX)</w:t>
      </w:r>
    </w:p>
    <w:p>
      <w:pPr>
        <w:pStyle w:val="ListBullet"/>
      </w:pPr>
      <w:r>
        <w:t>Diretiva (UE) 2024/825</w:t>
      </w:r>
    </w:p>
    <w:p>
      <w:pPr>
        <w:pStyle w:val="ListBullet"/>
      </w:pPr>
      <w:r>
        <w:t>Diretrizes de design para reciclagem RecyClass; EN 15343; ISO 14021; ISO 11469; ISO 18601–18606 / EN 13427–13432</w:t>
      </w:r>
    </w:p>
    <w:p>
      <w:pPr>
        <w:spacing w:before="160"/>
      </w:pPr>
      <w:r>
        <w:rPr>
          <w:b/>
          <w:color w:val="1F4E5F"/>
          <w:sz w:val="23"/>
        </w:rPr>
        <w:t>4.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Responsável de R&amp;D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Avaliação RecyClass por SKU, documentação técnica, redesign.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Gerente da Qualidade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Metais pesados, PFAS, FCM, declarações UE.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Responsável de Compras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Certificados EN 15343 do reciclado e declarações de fornecedores.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 do SGA / EHS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Matriz legal, KPI e revisão anual.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Diretor Financeiro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RAP das embalagens de expedição e informação por país.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Diretor Geral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Aprova declarações UE e alegações.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Descrição do processo</w:t>
      </w:r>
    </w:p>
    <w:p>
      <w:pPr>
        <w:ind w:left="227"/>
      </w:pPr>
      <w:r>
        <w:t>1. Em cada novo SKU ou alteração, preencher a linha em tbl_recyclass (RG-SGA-20) com os campos da ferramenta RecyClass: corpo, cor, densidade, barreira, tampa, vedante, rótulo, adesivo, cobertura e decoração.</w:t>
      </w:r>
    </w:p>
    <w:p>
      <w:pPr>
        <w:ind w:left="227"/>
      </w:pPr>
      <w:r>
        <w:t>2. Calcular a classe RecyClass, a taxa de reciclabilidade e o grau PPWR indicativo; só aprovar o design com grau A–C (A–B para projetos com vida para além de 2037), salvo isenção documentada (embalagem imediata de medicamento).</w:t>
      </w:r>
    </w:p>
    <w:p>
      <w:pPr>
        <w:ind w:left="227"/>
      </w:pPr>
      <w:r>
        <w:t>3. Confirmar o resultado na ferramenta online RecyClass para as famílias principais e pedir certificação quando o cliente o exigir ou antes de usar o logótipo.</w:t>
      </w:r>
    </w:p>
    <w:p>
      <w:pPr>
        <w:ind w:left="227"/>
      </w:pPr>
      <w:r>
        <w:t>4. Evitar por design: PVC, PETG, preto de negro de carbono, decoração direta em PET, tampas de PETG em PET, rótulos de papel ou adesivos não laváveis em PET.</w:t>
      </w:r>
    </w:p>
    <w:p>
      <w:pPr>
        <w:ind w:left="227"/>
      </w:pPr>
      <w:r>
        <w:t>5. Calcular o conteúdo reciclado por SKU e por instalação/ano face às metas do art. 7.º; aceitar reciclado só com certificado EN 15343 válido (tbl_certificados_pcr); em contacto alimentar só reciclado de processo autorizado (Reg. 2022/1616).</w:t>
      </w:r>
    </w:p>
    <w:p>
      <w:pPr>
        <w:ind w:left="227"/>
      </w:pPr>
      <w:r>
        <w:t>6. Manter por família a documentação técnica e a declaração UE de conformidade (metais pesados ≤ 100 mg/kg; PFAS em contacto alimentar) — tbl_familias_ppwr.</w:t>
      </w:r>
    </w:p>
    <w:p>
      <w:pPr>
        <w:ind w:left="227"/>
      </w:pPr>
      <w:r>
        <w:t>7. Enviar ao cliente a ficha do SKU (Formulario_RecyClass) e a informação por país (tbl_requisitos_pais); declarar as embalagens de expedição (tbl_emb_expedicao).</w:t>
      </w:r>
    </w:p>
    <w:p>
      <w:pPr>
        <w:ind w:left="227"/>
      </w:pPr>
      <w:r>
        <w:t>8. Rever anualmente a matriz de requisitos (tbl_requisitos_emb) e acompanhar os atos delegados do PPWR; tratar lacunas no PAM.</w:t>
      </w:r>
    </w:p>
    <w:p>
      <w:pPr>
        <w:spacing w:before="160"/>
      </w:pPr>
      <w:r>
        <w:rPr>
          <w:b/>
          <w:color w:val="1F4E5F"/>
          <w:sz w:val="23"/>
        </w:rPr>
        <w:t>6.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(Registos_SGA_Plasticom)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RG-SGA-20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tbl_recyclass, tbl_regras_dfr, tbl_familias_ppwr, tbl_requisitos_emb, tbl_aplicabilidade, tbl_certificados_pcr, tbl_alegacoes, tbl_requisitos_pais, tbl_emb_expedicao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RG-SGA-04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LEG-09, LEG-16 a LEG-21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RG-SGA-05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KPI-12, KPI-17 a KPI-21, OBJ-07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RG-SGA-06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PAM-26-22 a PAM-26-27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 com a primeira autoavaliação RecyClass de 113 SKUs.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Documentos_SGA_Plasticom é a versão em vigor; cópias impressas não são controladas.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Ambiental (NP EN ISO 14001:2026)    |    PR-SGA-15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