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MANUAL DO SISTEMA DE GESTÃO DA ENERGIA — ÂMBITO, ESTRUTURA E CORRESPONDÊNCIA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MAN-SGE-01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2026-12-18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A organização e o perfil energético</w:t>
      </w:r>
    </w:p>
    <w:p>
      <w:pPr>
        <w:spacing w:after="80"/>
      </w:pPr>
      <w:r>
        <w:t>Plasticom — Unidade 1 (Marinha Grande, Portugal): embalagens plásticas (frascos por injeção-sopro ISBM, tampas e potes por injeção) decoradas por serigrafia e hot foil. Processo 100% elétrico: ≈ 7,8 GWh em 2026 (≈ 1 680 tep; ≈ 28 TJ), 99,6% eletricidade e 0,4% gasóleo (frota e gerador). Consumidor intensivo de energia (SGCIE ≥ 1 000 tep).</w:t>
      </w:r>
    </w:p>
    <w:p>
      <w:pPr>
        <w:spacing w:before="160"/>
      </w:pPr>
      <w:r>
        <w:rPr>
          <w:b/>
          <w:color w:val="1F4E5F"/>
          <w:sz w:val="23"/>
        </w:rPr>
        <w:t>2. Âmbito e fronteiras (4.3)</w:t>
      </w:r>
    </w:p>
    <w:p>
      <w:pPr>
        <w:spacing w:after="80"/>
      </w:pPr>
      <w:r>
        <w:t>“Uso e consumo de energia na conceção, produção e decoração de embalagens plásticas (frascos, tampas e potes) por injeção, injeção-sopro, serigrafia e hot foil, incluindo utilidades, armazenagem, expedição, serviços de apoio e frota de serviço da Unidade 1 da Plasticom, Marinha Grande.”</w:t>
      </w:r>
    </w:p>
    <w:p>
      <w:pPr>
        <w:spacing w:after="80"/>
      </w:pPr>
      <w:r>
        <w:t>Fronteiras: terreno de 45 000 m² da Unidade 1 e frota própria; nenhum tipo de energia excluído. Detalhe e mapa das fronteiras no RG-SGE-01.</w:t>
      </w:r>
    </w:p>
    <w:p>
      <w:pPr>
        <w:spacing w:before="160"/>
      </w:pPr>
      <w:r>
        <w:rPr>
          <w:b/>
          <w:color w:val="1F4E5F"/>
          <w:sz w:val="23"/>
        </w:rPr>
        <w:t>3. Usos significativos de energia (6.3)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402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Peso em 2026</w:t>
            </w:r>
          </w:p>
        </w:tc>
        <w:tc>
          <w:tcPr>
            <w:tcW w:type="dxa" w:w="311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IDE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USE-01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Sopro (ISBM)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≈ 40%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IDE-03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USE-02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Injeção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≈ 27%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IDE-04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USE-03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Ar comprimido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≈ 13%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IDE-08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USE-04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Arrefecimento (pelo potencial)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≈ 7%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IDE-06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4. Política, liderança e equipa (5)</w:t>
      </w:r>
    </w:p>
    <w:p>
      <w:pPr>
        <w:spacing w:after="80"/>
      </w:pPr>
      <w:r>
        <w:t>Política energética POL-SGE-01. Equipa de gestão de energia nomeada em 01/07/2026 (OS-2026-07), liderada pelo(a) Gestor(a) de Energia com reporte ao Diretor Industrial; RACI dos 14 processos do SGE no RG-SGE-02.</w:t>
      </w:r>
    </w:p>
    <w:p>
      <w:pPr>
        <w:spacing w:before="160"/>
      </w:pPr>
      <w:r>
        <w:rPr>
          <w:b/>
          <w:color w:val="1F4E5F"/>
          <w:sz w:val="23"/>
        </w:rPr>
        <w:t>5. Estrutura do SGE e integração no SGI</w:t>
      </w:r>
    </w:p>
    <w:p>
      <w:pPr>
        <w:spacing w:after="80"/>
      </w:pPr>
      <w:r>
        <w:t>O SGE é o terceiro subsistema do SGI da Plasticom, com o SGA (ISO 14001:2026) e o SGQ (ISO 9001:2026). Partilha com o SGI: contexto (RG-SGA-01), riscos (RG-SGA-02), requisitos legais (RG-SGA-04), controlo da informação documentada (PR-SGA-08), planeamento de alterações (PR-SGA-06 / RG-SGA-18), auditorias e revisões integradas. As tabelas com o mesmo assunto têm o mesmo nome e colunas (RG-SGE-00 Matriz_Harmonizacao_SGI).</w:t>
      </w:r>
    </w:p>
    <w:p>
      <w:pPr>
        <w:spacing w:before="160"/>
      </w:pPr>
      <w:r>
        <w:rPr>
          <w:b/>
          <w:color w:val="1F4E5F"/>
          <w:sz w:val="23"/>
        </w:rPr>
        <w:t>6. Correspondência requisito → documento → registo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Cláusula</w:t>
            </w:r>
          </w:p>
        </w:tc>
        <w:tc>
          <w:tcPr>
            <w:tcW w:type="dxa" w:w="368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4252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4.1–4.4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MAN-SGE-01; PR-SGE-01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5.1–5.3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POL-SGE-01; MAN-SGE-01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6.1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PR-SGE-04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6.2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PR-SGE-04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6.3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PR-SGE-02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RG-SGE-04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6.4 / 6.5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PR-SGE-03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6.6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PR-SGE-05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7.1–7.4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PR-SGE-09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PR-SGA-08 (SGI)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RG-SGE-00; RG-SGA-09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8.1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PR-SGE-06; IT-SGE-01 a 03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RG-SGE-08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8.2 / 8.3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PR-SGE-07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RG-SGE-09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9.1.1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PR-SGE-05; PR-SGE-08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RG-SGE-05; RG-SGE-06; RG-SGE-11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9.1.2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PR-SGE-10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RG-SGE-10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9.2 / 9.3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PR-SGE-11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RG-SGE-12; RG-SGE-13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10.1 / 10.2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PR-SGE-12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RG-SGE-14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7. Normas e requisitos que suportam o SGE</w:t>
      </w:r>
    </w:p>
    <w:p>
      <w:pPr>
        <w:pStyle w:val="ListBullet"/>
      </w:pPr>
      <w:r>
        <w:t>Núcleo certificável: NP EN ISO 50001:2019 (ISO 50001:2018 + Amd 1:2024).</w:t>
      </w:r>
    </w:p>
    <w:p>
      <w:pPr>
        <w:pStyle w:val="ListBullet"/>
      </w:pPr>
      <w:r>
        <w:t>Desempenho energético: ISO 50006:2023 (IDE/LBE), ISO 50015:2014 (M&amp;V), ISO 50047:2016 (poupanças), ISO 50046:2019 (previsão), IPMVP, ASHRAE Guideline 14.</w:t>
      </w:r>
    </w:p>
    <w:p>
      <w:pPr>
        <w:pStyle w:val="ListBullet"/>
      </w:pPr>
      <w:r>
        <w:t>Implementação e auditoria: ISO 50004:2020, ISO 50005:2021, ISO/TS 50011:2023, ISO 50002-1:2025, EN 16247-1, ISO 50003:2021, ISO 19011.</w:t>
      </w:r>
    </w:p>
    <w:p>
      <w:pPr>
        <w:pStyle w:val="ListBullet"/>
      </w:pPr>
      <w:r>
        <w:t>Técnicas: EN 17267:2019 (medição), EN 17463:2021 (investimentos), ISO 11011:2013 (ar comprimido), ISO 1217, EUROMAP 60, IEC 60034-30-1, IEC 62053-22.</w:t>
      </w:r>
    </w:p>
    <w:p>
      <w:pPr>
        <w:pStyle w:val="ListBullet"/>
      </w:pPr>
      <w:r>
        <w:t>Integração: ISO 14001:2026, ISO 9001:2026, ISO 14064-1, ISO 14067, ISO 31000, ISO 55001 (lista completa em RG-SGE-00 Matriz_Normativa).</w:t>
      </w:r>
    </w:p>
    <w:p>
      <w:pPr>
        <w:pStyle w:val="ListBullet"/>
      </w:pPr>
      <w:r>
        <w:t>Legais: DL 71/2008 (SGCIE), Despacho 17313/2008, DL 68-A/2015, Diretiva (UE) 2023/1791, DL 15/2022 + DL 130/2026, Reg. (UE) 2019/1781, 2016/2281 e 2024/573 (RG-SGE-10).</w:t>
      </w:r>
    </w:p>
    <w:p>
      <w:pPr>
        <w:spacing w:before="160"/>
      </w:pPr>
      <w:r>
        <w:rPr>
          <w:b/>
          <w:color w:val="1F4E5F"/>
          <w:sz w:val="23"/>
        </w:rPr>
        <w:t>8. Estado à data de referência (31/12/2026)</w:t>
      </w:r>
    </w:p>
    <w:p>
      <w:pPr>
        <w:pStyle w:val="ListBullet"/>
      </w:pPr>
      <w:r>
        <w:t>Prontidão para a ISO 50001: 84% (20 requisitos conformes, 7 parciais, 1 lacuna — 8.2) — RG-SGE-00.</w:t>
      </w:r>
    </w:p>
    <w:p>
      <w:pPr>
        <w:pStyle w:val="ListBullet"/>
      </w:pPr>
      <w:r>
        <w:t>Melhoria do desempenho energético demonstrada em out–dez/2026 (5,4%); certificação prevista para 09/2027 (RD-E-26-D08).</w:t>
      </w:r>
    </w:p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2026-12-18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Estado após a 1.ª revisão pela gestão.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MAN-SGE-01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