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PLANO DE RECOLHA DE DADOS ENERGÉTICOS, MEDIÇÃO E CONFIRMAÇÃO DOS EQUIPAMENTOS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PR-SGE-05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2026-12-15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Assegurar que as características-chave que afetam o desempenho energético são identificadas, medidas, monitorizadas e analisadas com dados exatos e repetíveis.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Todos os contadores, analisadores, campanhas e fontes de dados de energia e das variáveis relevantes.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6.6 e 9.1.1</w:t>
      </w:r>
    </w:p>
    <w:p>
      <w:pPr>
        <w:pStyle w:val="ListBullet"/>
      </w:pPr>
      <w:r>
        <w:t>EN 17267:2019 (plano de medição e monitorização)</w:t>
      </w:r>
    </w:p>
    <w:p>
      <w:pPr>
        <w:pStyle w:val="ListBullet"/>
      </w:pPr>
      <w:r>
        <w:t>ISO 50006:2023 §5.6</w:t>
      </w:r>
    </w:p>
    <w:p>
      <w:pPr>
        <w:pStyle w:val="ListBullet"/>
      </w:pPr>
      <w:r>
        <w:t>ISO 50015:2014</w:t>
      </w:r>
    </w:p>
    <w:p>
      <w:pPr>
        <w:pStyle w:val="ListBullet"/>
      </w:pPr>
      <w:r>
        <w:t>IEC 62053-22 / IEC 61557-12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Diretiva 2014/32/UE (MID) e controlo metrológico legal do contador de faturação</w:t>
      </w:r>
    </w:p>
    <w:p>
      <w:pPr>
        <w:spacing w:before="160"/>
      </w:pPr>
      <w:r>
        <w:rPr>
          <w:b/>
          <w:color w:val="1F4E5F"/>
          <w:sz w:val="23"/>
        </w:rPr>
        <w:t>4. Definições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08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Característica-chave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Parâmetro de operação que afeta o desempenho energético (9.1.1 a: eficácia dos planos, IDE, operação dos USE, real vs esperado).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Gestor(a) de Energia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Mantém o plano de recolha e o plano de monitorização.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Gerente de Dados / TI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Integração dos analisadores no BI e retenção dos dados.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Técnico de Utilidades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Leituras, reconciliação e campanhas.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6. Descrição do processo</w:t>
      </w:r>
    </w:p>
    <w:p>
      <w:pPr>
        <w:ind w:left="227"/>
      </w:pPr>
      <w:r>
        <w:t>1. Manter a árvore de contadores (nível 0 fronteira, 1 USE, 2 equipamento) e a fração do consumo que cada ponto mede (tbl_contadores; KPI-E-01).</w:t>
      </w:r>
    </w:p>
    <w:p>
      <w:pPr>
        <w:ind w:left="227"/>
      </w:pPr>
      <w:r>
        <w:t>2. Definir os dados a recolher nas 5 categorias de 6.6 a)–e), com fonte, método, frequência de recolha e de análise, retenção e qualidade (tbl_plano_recolha).</w:t>
      </w:r>
    </w:p>
    <w:p>
      <w:pPr>
        <w:ind w:left="227"/>
      </w:pPr>
      <w:r>
        <w:t>3. Definir o plano de monitorização 9.1.1 com o valor esperado e o limite de desvio significativo de cada item (tbl_plano_monitorizacao).</w:t>
      </w:r>
    </w:p>
    <w:p>
      <w:pPr>
        <w:ind w:left="227"/>
      </w:pPr>
      <w:r>
        <w:t>4. Confirmar os equipamentos (calibração/verificação, classe, incerteza, repetibilidade) — o estado é calculado em tbl_equipamentos.</w:t>
      </w:r>
    </w:p>
    <w:p>
      <w:pPr>
        <w:ind w:left="227"/>
      </w:pPr>
      <w:r>
        <w:t>5. Reconciliar todos os meses a leitura interna com a fatura (±1%) e, desde 15/12/2026, Σ analisadores com o contador geral (±2%) — tbl_reconciliacao.</w:t>
      </w:r>
    </w:p>
    <w:p>
      <w:pPr>
        <w:ind w:left="227"/>
      </w:pPr>
      <w:r>
        <w:t>6. Rever o plano anualmente e quando mudarem os USE ou os contadores.</w:t>
      </w:r>
    </w:p>
    <w:p>
      <w:pPr>
        <w:spacing w:before="160"/>
      </w:pPr>
      <w:r>
        <w:rPr>
          <w:b/>
          <w:color w:val="1F4E5F"/>
          <w:sz w:val="23"/>
        </w:rPr>
        <w:t>7.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RG-SGE-06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tbl_contadores, tbl_plano_recolha, tbl_plano_monitorizacao, tbl_equipamentos, tbl_reconciliacao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2026-12-15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Analisadores M01–M06 em serviço; reconciliação Σ analisadores × M00.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PR-SGE-05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