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CONTROLO OPERACIONAL DOS USOS SIGNIFICATIVOS DE ENERGIA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PR-SGE-06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2026-12-01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de Energia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Objetivo</w:t>
      </w:r>
    </w:p>
    <w:p>
      <w:pPr>
        <w:spacing w:after="80"/>
      </w:pPr>
      <w:r>
        <w:t>Definir, comunicar e controlar os critérios de operação e manutenção dos USE para evitar desvios significativos do desempenho energético.</w:t>
      </w:r>
    </w:p>
    <w:p>
      <w:pPr>
        <w:spacing w:before="160"/>
      </w:pPr>
      <w:r>
        <w:rPr>
          <w:b/>
          <w:color w:val="1F4E5F"/>
          <w:sz w:val="23"/>
        </w:rPr>
        <w:t>2. Âmbito</w:t>
      </w:r>
    </w:p>
    <w:p>
      <w:pPr>
        <w:spacing w:after="80"/>
      </w:pPr>
      <w:r>
        <w:t>USE-01 sopro, USE-02 injeção, USE-03 ar comprimido, USE-04 arrefecimento e serviços gerais.</w:t>
      </w:r>
    </w:p>
    <w:p>
      <w:pPr>
        <w:spacing w:before="160"/>
      </w:pPr>
      <w:r>
        <w:rPr>
          <w:b/>
          <w:color w:val="1F4E5F"/>
          <w:sz w:val="23"/>
        </w:rPr>
        <w:t>3. Referências normativas e requisitos</w:t>
      </w:r>
    </w:p>
    <w:p>
      <w:pPr>
        <w:pStyle w:val="ListBullet"/>
      </w:pPr>
      <w:r>
        <w:t>NP EN ISO 50001:2019 (ISO 50001:2018 + Amd 1:2024 — Climate action changes)</w:t>
      </w:r>
    </w:p>
    <w:p>
      <w:pPr>
        <w:pStyle w:val="ListBullet"/>
      </w:pPr>
      <w:r>
        <w:t>ISO 50004:2020 — orientação para implementar, manter e melhorar um SGE</w:t>
      </w:r>
    </w:p>
    <w:p>
      <w:pPr>
        <w:pStyle w:val="ListBullet"/>
      </w:pPr>
      <w:r>
        <w:t>ISO 50001 8.1</w:t>
      </w:r>
    </w:p>
    <w:p>
      <w:pPr>
        <w:pStyle w:val="ListBullet"/>
      </w:pPr>
      <w:r>
        <w:t>ISO 11011:2013</w:t>
      </w:r>
    </w:p>
    <w:p>
      <w:pPr>
        <w:pStyle w:val="ListBullet"/>
      </w:pPr>
      <w:r>
        <w:t>Kent, R. / BPF (standby, pressão, setpoint da água gelada)</w:t>
      </w:r>
    </w:p>
    <w:p>
      <w:pPr>
        <w:spacing w:before="80"/>
      </w:pPr>
      <w:r>
        <w:rPr>
          <w:b/>
          <w:sz w:val="21"/>
        </w:rPr>
        <w:t>Requisitos legais e outros requisitos aplicáveis</w:t>
      </w:r>
    </w:p>
    <w:p>
      <w:pPr>
        <w:pStyle w:val="ListBullet"/>
      </w:pPr>
      <w:r>
        <w:t>Reg. (UE) 2024/573 (gases fluorados) — manutenção do chiller (tratada pelo SGA)</w:t>
      </w:r>
    </w:p>
    <w:p>
      <w:pPr>
        <w:spacing w:before="160"/>
      </w:pPr>
      <w:r>
        <w:rPr>
          <w:b/>
          <w:color w:val="1F4E5F"/>
          <w:sz w:val="23"/>
        </w:rPr>
        <w:t>4. Definições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Termo</w:t>
            </w:r>
          </w:p>
        </w:tc>
        <w:tc>
          <w:tcPr>
            <w:tcW w:type="dxa" w:w="708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Definição</w:t>
            </w:r>
          </w:p>
        </w:tc>
      </w:tr>
      <w:tr>
        <w:tc>
          <w:tcPr>
            <w:tcW w:type="dxa" w:w="2551"/>
          </w:tcPr>
          <w:p>
            <w:r>
              <w:rPr>
                <w:sz w:val="17"/>
              </w:rPr>
              <w:t>Desvio significativo</w:t>
            </w:r>
          </w:p>
        </w:tc>
        <w:tc>
          <w:tcPr>
            <w:tcW w:type="dxa" w:w="7087"/>
          </w:tcPr>
          <w:p>
            <w:r>
              <w:rPr>
                <w:sz w:val="17"/>
              </w:rPr>
              <w:t>Afastamento do critério definido pela organização que pode alterar o desempenho energético (Nota de 8.1).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5.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Chefes de turno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Standby, ramais de ar e iluminação.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Técnico de Utilidades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Pressão, fugas, setpoints e rondas.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Gerente de Manutenção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Critérios de manutenção.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6. Descrição do processo</w:t>
      </w:r>
    </w:p>
    <w:p>
      <w:pPr>
        <w:ind w:left="227"/>
      </w:pPr>
      <w:r>
        <w:t>1. Definir por USE o parâmetro, o critério, o desvio significativo, o método, a frequência e o responsável (tbl_criterios_operacionais).</w:t>
      </w:r>
    </w:p>
    <w:p>
      <w:pPr>
        <w:ind w:left="227"/>
      </w:pPr>
      <w:r>
        <w:t>2. Comunicar os critérios nas IT-SGE-01 a 03, no quadro SQDC e na formação FOR-E-01.</w:t>
      </w:r>
    </w:p>
    <w:p>
      <w:pPr>
        <w:ind w:left="227"/>
      </w:pPr>
      <w:r>
        <w:t>3. Fazer a ronda de energia semanal (7 pontos) e registar o resultado e a ação imediata (tbl_rondas_energia).</w:t>
      </w:r>
    </w:p>
    <w:p>
      <w:pPr>
        <w:ind w:left="227"/>
      </w:pPr>
      <w:r>
        <w:t>4. Tratar as não conformidades repetidas ou com efeito relevante como NC (PR-SGE-12); taxa de conformidade &lt; 80% obriga a rever o critério.</w:t>
      </w:r>
    </w:p>
    <w:p>
      <w:pPr>
        <w:ind w:left="227"/>
      </w:pPr>
      <w:r>
        <w:t>5. Controlar as alterações planeadas pela checklist do SGI (PR-SGA-06, secção de energia) e rever as consequências das não intencionais (folha Alteracoes_Nao_Intencionais).</w:t>
      </w:r>
    </w:p>
    <w:p>
      <w:pPr>
        <w:ind w:left="227"/>
      </w:pPr>
      <w:r>
        <w:t>6. Garantir que os serviços subcontratados com impacto nos USE têm critérios energéticos (PR-SGE-07).</w:t>
      </w:r>
    </w:p>
    <w:p>
      <w:pPr>
        <w:spacing w:before="160"/>
      </w:pPr>
      <w:r>
        <w:rPr>
          <w:b/>
          <w:color w:val="1F4E5F"/>
          <w:sz w:val="23"/>
        </w:rPr>
        <w:t>7. Informação documentada (evidência)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</w:t>
            </w:r>
          </w:p>
        </w:tc>
        <w:tc>
          <w:tcPr>
            <w:tcW w:type="dxa" w:w="7370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Tabelas (Registos_SGE_Plasticom)</w:t>
            </w:r>
          </w:p>
        </w:tc>
      </w:tr>
      <w:tr>
        <w:tc>
          <w:tcPr>
            <w:tcW w:type="dxa" w:w="2268"/>
          </w:tcPr>
          <w:p>
            <w:r>
              <w:rPr>
                <w:sz w:val="17"/>
              </w:rPr>
              <w:t>RG-SGE-08</w:t>
            </w:r>
          </w:p>
        </w:tc>
        <w:tc>
          <w:tcPr>
            <w:tcW w:type="dxa" w:w="7370"/>
          </w:tcPr>
          <w:p>
            <w:r>
              <w:rPr>
                <w:sz w:val="17"/>
              </w:rPr>
              <w:t>tbl_criterios_operacionais, tbl_rondas_energia, Alteracoes_Nao_Intencionais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2026-09-29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inicial.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01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2026-12-01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Pressão de 6,8 bar e setpoint do chiller ≥ 10 °C.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Documentos_SGE_Plasticom é a versão em vigor; cópias impressas não são controladas (PR-SGA-08).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da Energia (NP EN ISO 50001:2019 (ISO 50001:2018 + Amd 1:2024))    |    PR-SGE-06 rev. 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