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DESVIOS SIGNIFICATIVOS E MEDIÇÃO E VERIFICAÇÃO DE POUPANÇAS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2026-10-01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Investigar e responder aos desvios significativos do desempenho energético e verificar as poupanças das ações de forma reprodutível.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IDE da instalação e dos USE; todas as ações de melhoria com poupança declarada.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9.1.1, 6.2.3, 10.2</w:t>
      </w:r>
    </w:p>
    <w:p>
      <w:pPr>
        <w:pStyle w:val="ListBullet"/>
      </w:pPr>
      <w:r>
        <w:t>ISO 50015:2014 (M&amp;V)</w:t>
      </w:r>
    </w:p>
    <w:p>
      <w:pPr>
        <w:pStyle w:val="ListBullet"/>
      </w:pPr>
      <w:r>
        <w:t>ISO 50047:2016 (poupanças)</w:t>
      </w:r>
    </w:p>
    <w:p>
      <w:pPr>
        <w:pStyle w:val="ListBullet"/>
      </w:pPr>
      <w:r>
        <w:t>EVO — IPMVP Core Concepts</w:t>
      </w:r>
    </w:p>
    <w:p>
      <w:pPr>
        <w:pStyle w:val="ListBullet"/>
      </w:pPr>
      <w:r>
        <w:t>ASHRAE Guideline 14</w:t>
      </w:r>
    </w:p>
    <w:p>
      <w:pPr>
        <w:pStyle w:val="ListBullet"/>
      </w:pPr>
      <w:r>
        <w:t>ISO 50006:2023 §10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Regulamentos de avisos de financiamento (M&amp;V das poupanças financiadas)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Opção A / B / C (IPMVP)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A: medir o parâmetro-chave e estimar os restantes; B: medir todos os parâmetros na fronteira da medida; C: instalação completa com modelo.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Ajuste não rotineiro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Correção da LBE por alteração de fatores estáticos (ex.: novas máquinas).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Deteta e coordena a investigação; aprova os planos de M&amp;V.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Donos das ações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Recolhem os dados de M&amp;V.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Todos os meses comparar o real com o esperado (RG-SGE-05); é desvio significativo |real − esperado| &gt; t(95%) × erro-padrão, um mês fora do domínio, ou um critério operacional falhado.</w:t>
      </w:r>
    </w:p>
    <w:p>
      <w:pPr>
        <w:ind w:left="227"/>
      </w:pPr>
      <w:r>
        <w:t>2. Registar o desvio (tbl_desvios), investigar a causa e responder em ≤ 30 dias (KPI-E-02); desvios favoráveis também são investigados para confirmar as causas.</w:t>
      </w:r>
    </w:p>
    <w:p>
      <w:pPr>
        <w:ind w:left="227"/>
      </w:pPr>
      <w:r>
        <w:t>3. Para cada ação com poupança, elaborar o plano de M&amp;V (fronteira, opção IPMVP, períodos, ajustes, instrumentos, incerteza) — tbl_mv_planos.</w:t>
      </w:r>
    </w:p>
    <w:p>
      <w:pPr>
        <w:ind w:left="227"/>
      </w:pPr>
      <w:r>
        <w:t>4. Calcular as poupanças verificadas (tbl_poupancas) e a sua incerteza; comparar a soma com a melhoria normalizada da instalação (coerência opção C vs A/B).</w:t>
      </w:r>
    </w:p>
    <w:p>
      <w:pPr>
        <w:ind w:left="227"/>
      </w:pPr>
      <w:r>
        <w:t>5. Reportar na reunião mensal e na revisão pela gestão; poupança verificada &lt; 50% da prevista abre ação (PR-SGE-12).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tbl_desvios, tbl_mv_planos, tbl_ar_mv, tbl_poupancas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tbl_ide_mensal, LBE_Modelo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2026-10-01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PR-SGE-08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