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REQUISITOS LEGAIS E OUTROS REQUISITOS DE ENERGIA E AVALIAÇÃO DA CONFORMIDADE (SGCIE)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Identificar os requisitos legais e outros requisitos de energia, determinar como se aplicam e avaliar a conformidade em intervalos planeados.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Legislação nacional e europeia de energia e compromissos subscritos (clientes, certificação).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4.2, 9.1.2</w:t>
      </w:r>
    </w:p>
    <w:p>
      <w:pPr>
        <w:pStyle w:val="ListBullet"/>
      </w:pPr>
      <w:r>
        <w:t>ISO 50003:2021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DL 71/2008 (SGCIE), alterado pela Lei 7/2013 e pelo DL 68-A/2015</w:t>
      </w:r>
    </w:p>
    <w:p>
      <w:pPr>
        <w:pStyle w:val="ListBullet"/>
      </w:pPr>
      <w:r>
        <w:t>Despacho 17313/2008</w:t>
      </w:r>
    </w:p>
    <w:p>
      <w:pPr>
        <w:pStyle w:val="ListBullet"/>
      </w:pPr>
      <w:r>
        <w:t>DL 68-A/2015</w:t>
      </w:r>
    </w:p>
    <w:p>
      <w:pPr>
        <w:pStyle w:val="ListBullet"/>
      </w:pPr>
      <w:r>
        <w:t>Diretiva (UE) 2023/1791 (arts. 8.º e 11.º)</w:t>
      </w:r>
    </w:p>
    <w:p>
      <w:pPr>
        <w:pStyle w:val="ListBullet"/>
      </w:pPr>
      <w:r>
        <w:t>DL 15/2022 alterado pelo DL 130/2026</w:t>
      </w:r>
    </w:p>
    <w:p>
      <w:pPr>
        <w:pStyle w:val="ListBullet"/>
      </w:pPr>
      <w:r>
        <w:t>Reg. (UE) 2019/1781</w:t>
      </w:r>
    </w:p>
    <w:p>
      <w:pPr>
        <w:pStyle w:val="ListBullet"/>
      </w:pPr>
      <w:r>
        <w:t>Reg. (UE) 2016/2281</w:t>
      </w:r>
    </w:p>
    <w:p>
      <w:pPr>
        <w:pStyle w:val="ListBullet"/>
      </w:pPr>
      <w:r>
        <w:t>Reg. (UE) 2024/573</w:t>
      </w:r>
    </w:p>
    <w:p>
      <w:pPr>
        <w:pStyle w:val="ListBullet"/>
      </w:pPr>
      <w:r>
        <w:t>Diretiva (UE) 2022/2464 (CSRD) — via clientes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CIE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Consumidor intensivo de energia: instalação com mais de 500 tep/ano (SGCIE).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PREn / ARCE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Plano de Racionalização do Consumo de Energia; Acordo de Racionalização dos Consumos de Energia (metas a 8 anos).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Vigilância legal, SGCIE, REP.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Inclusão dos requisitos no RG-SGA-04 (fonte única).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Financeiro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Critério de grande empresa; UPAC.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Vigiar semestralmente o Diário da República, a DGEG, a ADENE e o EUR-Lex (OBRE-04).</w:t>
      </w:r>
    </w:p>
    <w:p>
      <w:pPr>
        <w:ind w:left="227"/>
      </w:pPr>
      <w:r>
        <w:t>2. Registar cada requisito com a mesma estrutura do RG-SGA-04 (tbl_legal) e propor a sua inclusão no registo do SGI.</w:t>
      </w:r>
    </w:p>
    <w:p>
      <w:pPr>
        <w:ind w:left="227"/>
      </w:pPr>
      <w:r>
        <w:t>3. Registar as obrigações com prazo (auditoria SGCIE, PREn, REP, controlo prévio da UPAC) — tbl_obrigacoes.</w:t>
      </w:r>
    </w:p>
    <w:p>
      <w:pPr>
        <w:ind w:left="227"/>
      </w:pPr>
      <w:r>
        <w:t>4. Calcular todos os anos os indicadores do PREn (tep, consumo específico, intensidade energética e carbónica) e comparar com a trajetória (−6% em 8 anos) — tbl_sgcie.</w:t>
      </w:r>
    </w:p>
    <w:p>
      <w:pPr>
        <w:ind w:left="227"/>
      </w:pPr>
      <w:r>
        <w:t>5. Avaliar a conformidade de cada requisito com evidência datada; o estado e a próxima avaliação são calculados.</w:t>
      </w:r>
    </w:p>
    <w:p>
      <w:pPr>
        <w:ind w:left="227"/>
      </w:pPr>
      <w:r>
        <w:t>6. Tratar qualquer incumprimento como NC (PR-SGE-12) e reportar na revisão pela gestão.</w:t>
      </w:r>
    </w:p>
    <w:p>
      <w:pPr>
        <w:spacing w:before="160"/>
      </w:pPr>
      <w:r>
        <w:rPr>
          <w:b/>
          <w:color w:val="1F4E5F"/>
          <w:sz w:val="23"/>
        </w:rPr>
        <w:t>7. Critérios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Indicador do PREn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Cálculo e meta (≥ 1 000 tep)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Consumo específico (CEE)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kgep / t de produto — −6% em 8 anos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Intensidade energética (IE)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kgep / mil € de VAB — −6% em 8 anos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Intensidade carbónica (IC)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kgCO2e / kgep — manter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Fatores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Eletricidade 0,215 kgep/kWh e 0,47 kgCO2e/kWh; gasóleo 0,864 kgep/L (Despacho 17313/2008)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8.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RG-SGE-10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tbl_legal, tbl_obrigacoes, tbl_sgcie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RG-SGA-04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tbl_legal (fonte única do SGI)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PR-SGE-10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