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A048" w14:textId="77777777" w:rsidR="004076B3" w:rsidRDefault="004076B3">
      <w:pPr>
        <w:spacing w:before="2000"/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5C144B3C" w14:textId="77777777" w:rsidR="0031087F" w:rsidRPr="00677D83" w:rsidRDefault="0031087F">
      <w:pPr>
        <w:spacing w:before="2000"/>
        <w:rPr>
          <w:rFonts w:ascii="Arial" w:hAnsi="Arial" w:cs="Arial"/>
          <w:color w:val="7F7F7F" w:themeColor="text1" w:themeTint="80"/>
          <w:sz w:val="24"/>
          <w:szCs w:val="24"/>
        </w:rPr>
      </w:pPr>
    </w:p>
    <w:p w14:paraId="1B3EA049" w14:textId="77777777" w:rsidR="004076B3" w:rsidRPr="00677D83" w:rsidRDefault="004D787F">
      <w:pPr>
        <w:spacing w:after="300"/>
        <w:jc w:val="center"/>
        <w:rPr>
          <w:rFonts w:ascii="Arial" w:hAnsi="Arial" w:cs="Arial"/>
          <w:color w:val="7F7F7F" w:themeColor="text1" w:themeTint="80"/>
          <w:sz w:val="40"/>
          <w:szCs w:val="40"/>
        </w:rPr>
      </w:pPr>
      <w:r w:rsidRPr="00677D83">
        <w:rPr>
          <w:rFonts w:ascii="Arial" w:hAnsi="Arial" w:cs="Arial"/>
          <w:b/>
          <w:bCs/>
          <w:color w:val="7F7F7F" w:themeColor="text1" w:themeTint="80"/>
          <w:sz w:val="40"/>
          <w:szCs w:val="40"/>
        </w:rPr>
        <w:t>Manufacturing Performance Analytics</w:t>
      </w:r>
    </w:p>
    <w:p w14:paraId="1B3EA04A" w14:textId="0AC5DE67" w:rsidR="004076B3" w:rsidRPr="00320D82" w:rsidRDefault="00183D0A">
      <w:pPr>
        <w:spacing w:after="6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4546A"/>
          <w:sz w:val="24"/>
          <w:szCs w:val="24"/>
        </w:rPr>
        <w:t>Descrição</w:t>
      </w:r>
      <w:r w:rsidR="004D787F" w:rsidRPr="00320D82">
        <w:rPr>
          <w:rFonts w:ascii="Arial" w:hAnsi="Arial" w:cs="Arial"/>
          <w:color w:val="44546A"/>
          <w:sz w:val="24"/>
          <w:szCs w:val="24"/>
        </w:rPr>
        <w:t xml:space="preserve"> do Projeto</w:t>
      </w:r>
    </w:p>
    <w:p w14:paraId="1B3EA04B" w14:textId="77777777" w:rsidR="004076B3" w:rsidRPr="00320D82" w:rsidRDefault="004D787F">
      <w:pPr>
        <w:spacing w:after="1200"/>
        <w:jc w:val="center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i/>
          <w:iCs/>
          <w:color w:val="595959"/>
          <w:sz w:val="24"/>
          <w:szCs w:val="24"/>
        </w:rPr>
        <w:t>Análise integrada de Produção, Qualidade, Manutenção e Asseguração da Qualidade, com Machine Learning, numa fábrica simulada de embalagens plásticas — OEE, CEP/SPC, AQL (ISO 2859-1), Lean Six Sigma, SQL, Python, Machine Learning e Power BI.</w:t>
      </w:r>
    </w:p>
    <w:p w14:paraId="1B3EA04C" w14:textId="77777777" w:rsidR="004076B3" w:rsidRPr="00320D82" w:rsidRDefault="004D787F">
      <w:pPr>
        <w:jc w:val="center"/>
        <w:rPr>
          <w:rFonts w:ascii="Arial" w:hAnsi="Arial" w:cs="Arial"/>
          <w:color w:val="808080"/>
          <w:sz w:val="24"/>
          <w:szCs w:val="24"/>
        </w:rPr>
      </w:pPr>
      <w:r w:rsidRPr="00320D82">
        <w:rPr>
          <w:rFonts w:ascii="Arial" w:hAnsi="Arial" w:cs="Arial"/>
          <w:color w:val="808080"/>
          <w:sz w:val="24"/>
          <w:szCs w:val="24"/>
        </w:rPr>
        <w:t>Repositório: manufacturing-performance-analytics</w:t>
      </w:r>
    </w:p>
    <w:p w14:paraId="7E7BD9AA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504F8AAC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72A6AB45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0B35F941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34948DA2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1E4E58F2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0DFBBF1F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5A4C1DAD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77257E11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7ADCA689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251D26E6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033AC344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3F98EDEC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4B0167CA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28336AB9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184A1589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577E818D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5BBA8722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115BB32E" w14:textId="77777777" w:rsidR="007B1699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6FAABF2E" w14:textId="77777777" w:rsidR="0031087F" w:rsidRDefault="0031087F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230125FF" w14:textId="77777777" w:rsidR="0031087F" w:rsidRPr="00320D82" w:rsidRDefault="0031087F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3ADD46A1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3FB596BA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03AE88D2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p w14:paraId="3EF758A7" w14:textId="77777777" w:rsidR="007B1699" w:rsidRPr="00320D82" w:rsidRDefault="007B1699">
      <w:pPr>
        <w:jc w:val="center"/>
        <w:rPr>
          <w:rFonts w:ascii="Arial" w:hAnsi="Arial" w:cs="Arial"/>
          <w:color w:val="808080"/>
          <w:sz w:val="24"/>
          <w:szCs w:val="24"/>
        </w:rPr>
      </w:pPr>
    </w:p>
    <w:sdt>
      <w:sdtPr>
        <w:rPr>
          <w:rFonts w:ascii="Arial" w:eastAsia="Calibri" w:hAnsi="Arial" w:cs="Arial"/>
          <w:color w:val="auto"/>
          <w:sz w:val="24"/>
          <w:szCs w:val="24"/>
        </w:rPr>
        <w:id w:val="284012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5BCA3" w14:textId="730D4D48" w:rsidR="007B1699" w:rsidRPr="00AF09D9" w:rsidRDefault="00AF09D9">
          <w:pPr>
            <w:pStyle w:val="Cabealhodondice"/>
            <w:rPr>
              <w:rFonts w:ascii="Arial" w:hAnsi="Arial" w:cs="Arial"/>
              <w:color w:val="7F7F7F" w:themeColor="text1" w:themeTint="80"/>
              <w:sz w:val="20"/>
              <w:szCs w:val="20"/>
            </w:rPr>
          </w:pPr>
          <w:r>
            <w:rPr>
              <w:rFonts w:ascii="Arial" w:hAnsi="Arial" w:cs="Arial"/>
              <w:color w:val="7F7F7F" w:themeColor="text1" w:themeTint="80"/>
              <w:sz w:val="20"/>
              <w:szCs w:val="20"/>
            </w:rPr>
            <w:t>Índice</w:t>
          </w:r>
        </w:p>
        <w:p w14:paraId="2517B527" w14:textId="6D4CEB08" w:rsidR="00E12FFE" w:rsidRPr="00AF09D9" w:rsidRDefault="007B1699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r w:rsidRPr="00AF09D9">
            <w:rPr>
              <w:rFonts w:ascii="Arial" w:hAnsi="Arial" w:cs="Arial"/>
              <w:sz w:val="20"/>
              <w:szCs w:val="20"/>
            </w:rPr>
            <w:fldChar w:fldCharType="begin"/>
          </w:r>
          <w:r w:rsidRPr="00AF09D9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AF09D9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34732854" w:history="1">
            <w:r w:rsidR="00E12FFE"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1. Sobre este documento</w:t>
            </w:r>
            <w:r w:rsidR="00E12FFE" w:rsidRPr="00AF09D9">
              <w:rPr>
                <w:noProof/>
                <w:webHidden/>
                <w:sz w:val="20"/>
                <w:szCs w:val="20"/>
              </w:rPr>
              <w:tab/>
            </w:r>
            <w:r w:rsidR="00E12FFE"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="00E12FFE" w:rsidRPr="00AF09D9">
              <w:rPr>
                <w:noProof/>
                <w:webHidden/>
                <w:sz w:val="20"/>
                <w:szCs w:val="20"/>
              </w:rPr>
              <w:instrText xml:space="preserve"> PAGEREF _Toc234732854 \h </w:instrText>
            </w:r>
            <w:r w:rsidR="00E12FFE" w:rsidRPr="00AF09D9">
              <w:rPr>
                <w:noProof/>
                <w:webHidden/>
                <w:sz w:val="20"/>
                <w:szCs w:val="20"/>
              </w:rPr>
            </w:r>
            <w:r w:rsidR="00E12FFE"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4</w:t>
            </w:r>
            <w:r w:rsidR="00E12FFE"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8D5CFB" w14:textId="27F3C1A3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55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2. A pergunta central do projeto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_Toc234732855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4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34CB6B" w14:textId="2360F336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56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3. Estrutura do repositório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_Toc234732856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4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6CB798" w14:textId="3F1502B2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57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4. Etapa 1 e 2 — Importar e Identificar Problemas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_Toc234732857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CBEF06" w14:textId="17ED5997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58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 Etapa 3 — Limpeza de Dados e Engenharia de Colunas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_Toc234732858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9DAAD8" w14:textId="6DF71F9A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59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5.1 Porque Python em vez de SQL para a limpeza?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_Toc234732859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B00F6F" w14:textId="775D9157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0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5.2 Limpeza genérica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_Toc234732860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6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4D15E7" w14:textId="0637D29B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1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5.3 Colunas de calendário: ISOWeek e ISOWeekday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_Toc234732861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6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E0D12" w14:textId="31DEEB8A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2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5.4 ShiftNumber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_Toc234732862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6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583053" w14:textId="3EA978B7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3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5.5 LotId — o código de rastreabilidade de lote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_Toc234732863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6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42B041" w14:textId="48A6F029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4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5.6 Ligação de fact_downtime_raw a uma ordem de fabrico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_Toc234732864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7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7067C3" w14:textId="04DA964A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5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5.6.1 Paragens planeadas vs. não planeadas — analisadas em separado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_Toc234732865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7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495584" w14:textId="5BE66771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6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5.7 OEE — Overall Equipment Effectiveness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_Toc234732866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7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629334" w14:textId="0ED19F43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7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5.8 Controlo Estatístico do Processo (CEP/SPC)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_Toc234732867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8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B5FB3F" w14:textId="46F3909F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8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5.9 Amostragem de qualidade (ISO 2859-1 / AQL)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_Toc234732868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8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74730E" w14:textId="00665319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69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5.10 Indicadores Six Sigma: DPU e DPMO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_Toc234732869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8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6ED1C2" w14:textId="625DEDF4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0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5.11 MTBF e MTTR — fiabilidade de manutenção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_Toc234732870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8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71A1A5" w14:textId="10BF7A18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1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5.12 Que indicadores viram colunas guardadas, e quais não?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_Toc234732871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9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530A30" w14:textId="45C22B80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2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5.13 Carregamento em MySQL e views de 52 semanas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_Toc234732872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9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BAA5B5" w14:textId="1CD74E20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3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6. Etapa 4 — Análise Inicial e Scorecard de Indicadores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_Toc234732873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9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73FB86" w14:textId="3A4C408A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4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6.1 Produção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_Toc234732874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9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853DBE" w14:textId="2D97F5EF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5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6.2 Qualidade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_Toc234732875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10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9E5161" w14:textId="21F01836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6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6.3 Manutenção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_Toc234732876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10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A4C849" w14:textId="4F58A0F3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7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6.4 Scorecard de Indicadores (KPI Scorecard)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_Toc234732877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10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A46E64" w14:textId="29A33D59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8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7. Etapa 5 — Domínio de Asseguração da Qualidade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_Toc234732878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10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2BABF2" w14:textId="58E130F1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79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7.1 Modelo de dados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_Toc234732879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10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7056E7" w14:textId="1982B33F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0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7.2 Indicadores — Reclamações de Clientes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_Toc234732880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11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C2BCA6" w14:textId="4ABA6362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1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7.3 Indicadores — Qualidade de Fornecedores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_Toc234732881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11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CC193F" w14:textId="2822DA1F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2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7.4 Indicadores — Não Conformidades e CAPA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_Toc234732882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11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F18A23" w14:textId="7619D86B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3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  <w:lang w:val="en-US"/>
              </w:rPr>
              <w:t>8. Etapa 6 — Machine Learning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_Toc234732883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11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4D2B1F" w14:textId="038D1C7B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4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8.1 Porque divisão temporal, nunca aleatória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_Toc234732884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11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7C05E5" w14:textId="4DE000CD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5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8.2 Previsão de Produção Semanal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_Toc234732885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12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FB26E5" w14:textId="2C622346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6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8.3 Previsão da Taxa de Scrap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_Toc234732886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12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0FC6AD" w14:textId="12B34E95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7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8.4 Classificação de Aprovação/Reprovação de Lote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_Toc234732887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12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45D07E" w14:textId="75CC6FC1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8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8.5 Manutenção Preditiva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_Toc234732888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12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5C1CB5" w14:textId="6F12E5E6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89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8.6 Metodologia partilhada por todos os modelos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_Toc234732889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12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C628AB" w14:textId="7FDFBB55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0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9. Etapa 7 — Síntese Final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_Toc234732890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14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12E497" w14:textId="047056B5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1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9.1 Principais conclusões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_Toc234732891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14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D83EBB" w14:textId="4D6810BE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2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9.2 Resposta à pergunta central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_Toc234732892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14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EB8FE3" w14:textId="6FED5B97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3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 Glossário de Conceitos de Negócio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_Toc234732893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FBA5FE" w14:textId="265545B9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4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10.1 Lean Manufacturing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_Toc234732894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1BF9C3" w14:textId="6820EE8B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5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10.2 Six Sigma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_Toc234732895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496451" w14:textId="214A0367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6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10.3 CEP / SPC (Controlo Estatístico do Processo)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_Toc234732896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9A2CED" w14:textId="2CD24452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7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10.4 ISO 9001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_Toc234732897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BA4E19" w14:textId="1FDBFB47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8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10.5 ISO 2859-1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_Toc234732898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52F24A" w14:textId="3369235F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899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10.6 OEE (Overall Equipment Effectiveness)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_Toc234732899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25FF97" w14:textId="1E5F32D7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900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10.7 MTBF e MTTR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_Toc234732900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CAFD54" w14:textId="58E50505" w:rsidR="00E12FFE" w:rsidRPr="00AF09D9" w:rsidRDefault="00E12FF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901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10.8 Machine Learning aplicado à manufatura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_Toc234732901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653F34" w14:textId="2534E468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902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11. Como correr o projeto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_Toc234732902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15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3696DF" w14:textId="051F9475" w:rsidR="00E12FFE" w:rsidRPr="00AF09D9" w:rsidRDefault="00E12FF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4732903" w:history="1">
            <w:r w:rsidRPr="00AF09D9">
              <w:rPr>
                <w:rStyle w:val="Hiperligao"/>
                <w:rFonts w:ascii="Arial" w:hAnsi="Arial" w:cs="Arial"/>
                <w:noProof/>
                <w:sz w:val="20"/>
                <w:szCs w:val="20"/>
              </w:rPr>
              <w:t>12. Conclusão</w:t>
            </w:r>
            <w:r w:rsidRPr="00AF09D9">
              <w:rPr>
                <w:noProof/>
                <w:webHidden/>
                <w:sz w:val="20"/>
                <w:szCs w:val="20"/>
              </w:rPr>
              <w:tab/>
            </w:r>
            <w:r w:rsidRPr="00AF09D9">
              <w:rPr>
                <w:noProof/>
                <w:webHidden/>
                <w:sz w:val="20"/>
                <w:szCs w:val="20"/>
              </w:rPr>
              <w:fldChar w:fldCharType="begin"/>
            </w:r>
            <w:r w:rsidRPr="00AF09D9">
              <w:rPr>
                <w:noProof/>
                <w:webHidden/>
                <w:sz w:val="20"/>
                <w:szCs w:val="20"/>
              </w:rPr>
              <w:instrText xml:space="preserve"> PAGEREF _Toc234732903 \h </w:instrText>
            </w:r>
            <w:r w:rsidRPr="00AF09D9">
              <w:rPr>
                <w:noProof/>
                <w:webHidden/>
                <w:sz w:val="20"/>
                <w:szCs w:val="20"/>
              </w:rPr>
            </w:r>
            <w:r w:rsidRPr="00AF09D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F09D9">
              <w:rPr>
                <w:noProof/>
                <w:webHidden/>
                <w:sz w:val="20"/>
                <w:szCs w:val="20"/>
              </w:rPr>
              <w:t>16</w:t>
            </w:r>
            <w:r w:rsidRPr="00AF09D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629B85" w14:textId="03468890" w:rsidR="007B1699" w:rsidRPr="00320D82" w:rsidRDefault="007B1699">
          <w:pPr>
            <w:rPr>
              <w:rFonts w:ascii="Arial" w:hAnsi="Arial" w:cs="Arial"/>
              <w:sz w:val="24"/>
              <w:szCs w:val="24"/>
            </w:rPr>
          </w:pPr>
          <w:r w:rsidRPr="00AF09D9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sdtContent>
    </w:sdt>
    <w:p w14:paraId="7D692594" w14:textId="77777777" w:rsidR="007B1699" w:rsidRPr="00320D82" w:rsidRDefault="007B1699">
      <w:pPr>
        <w:jc w:val="center"/>
        <w:rPr>
          <w:rFonts w:ascii="Arial" w:hAnsi="Arial" w:cs="Arial"/>
          <w:sz w:val="24"/>
          <w:szCs w:val="24"/>
        </w:rPr>
      </w:pPr>
    </w:p>
    <w:p w14:paraId="1B3EA04D" w14:textId="77777777" w:rsidR="004076B3" w:rsidRPr="00320D82" w:rsidRDefault="004D787F">
      <w:pPr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br w:type="page"/>
      </w:r>
    </w:p>
    <w:p w14:paraId="1B3EA04E" w14:textId="3AF06BFA" w:rsidR="004076B3" w:rsidRPr="00677D83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0" w:name="_Toc234732854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lastRenderedPageBreak/>
        <w:t xml:space="preserve">1. Sobre este </w:t>
      </w:r>
      <w:r w:rsidR="00834974">
        <w:rPr>
          <w:rFonts w:ascii="Arial" w:hAnsi="Arial" w:cs="Arial"/>
          <w:color w:val="7F7F7F" w:themeColor="text1" w:themeTint="80"/>
          <w:sz w:val="24"/>
          <w:szCs w:val="24"/>
        </w:rPr>
        <w:t>documento</w:t>
      </w:r>
      <w:bookmarkEnd w:id="0"/>
    </w:p>
    <w:p w14:paraId="1B3EA04F" w14:textId="6E180EB3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Este documento explica, tudo o que foi construído no projeto Manufacturing Performance Analytics</w:t>
      </w:r>
      <w:r w:rsidR="00834974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 xml:space="preserve">o raciocínio por trás de cada etapa, os conceitos técnicos e de negócio envolvidos, e como cada peça do repositório se encaixa nas outras. O objetivo é que sirva como </w:t>
      </w:r>
      <w:r w:rsidR="00834974">
        <w:rPr>
          <w:rFonts w:ascii="Arial" w:hAnsi="Arial" w:cs="Arial"/>
          <w:sz w:val="24"/>
          <w:szCs w:val="24"/>
        </w:rPr>
        <w:t xml:space="preserve">guia para </w:t>
      </w:r>
      <w:r w:rsidR="005D3A58">
        <w:rPr>
          <w:rFonts w:ascii="Arial" w:hAnsi="Arial" w:cs="Arial"/>
          <w:sz w:val="24"/>
          <w:szCs w:val="24"/>
        </w:rPr>
        <w:t xml:space="preserve">compreender </w:t>
      </w:r>
      <w:r w:rsidRPr="00320D82">
        <w:rPr>
          <w:rFonts w:ascii="Arial" w:hAnsi="Arial" w:cs="Arial"/>
          <w:sz w:val="24"/>
          <w:szCs w:val="24"/>
        </w:rPr>
        <w:t>não só o que o código faz, mas porquê foi feito assim.</w:t>
      </w:r>
    </w:p>
    <w:p w14:paraId="1B3EA050" w14:textId="774D40E9" w:rsidR="004076B3" w:rsidRPr="00320D82" w:rsidRDefault="005D3A58">
      <w:pPr>
        <w:spacing w:after="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</w:t>
      </w:r>
      <w:r w:rsidR="004D787F" w:rsidRPr="00320D82">
        <w:rPr>
          <w:rFonts w:ascii="Arial" w:hAnsi="Arial" w:cs="Arial"/>
          <w:sz w:val="24"/>
          <w:szCs w:val="24"/>
        </w:rPr>
        <w:t>projeto simula uma fábrica de embalagens plásticas (frascos, tampas, e decoração por serigrafia e hot foil</w:t>
      </w:r>
      <w:r w:rsidR="004D787F" w:rsidRPr="00320D82">
        <w:rPr>
          <w:rFonts w:ascii="Arial" w:hAnsi="Arial" w:cs="Arial"/>
          <w:sz w:val="24"/>
          <w:szCs w:val="24"/>
        </w:rPr>
        <w:t>) e cobre o ciclo completo de um projeto de dados: importar dados brutos, identificar problemas de qualidade de dados, limpar e enriquecer os dados, carregar numa base de dados relacional (MySQL), e produzir análises que respond</w:t>
      </w:r>
      <w:r w:rsidR="00166888">
        <w:rPr>
          <w:rFonts w:ascii="Arial" w:hAnsi="Arial" w:cs="Arial"/>
          <w:sz w:val="24"/>
          <w:szCs w:val="24"/>
        </w:rPr>
        <w:t>am</w:t>
      </w:r>
      <w:r w:rsidR="004D787F" w:rsidRPr="00320D82">
        <w:rPr>
          <w:rFonts w:ascii="Arial" w:hAnsi="Arial" w:cs="Arial"/>
          <w:sz w:val="24"/>
          <w:szCs w:val="24"/>
        </w:rPr>
        <w:t xml:space="preserve"> a perguntas de negócio reais.</w:t>
      </w:r>
    </w:p>
    <w:p w14:paraId="1B3EA051" w14:textId="77777777" w:rsidR="004076B3" w:rsidRPr="00677D83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" w:name="_Toc234732855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2. A pergunta central do projeto</w:t>
      </w:r>
      <w:bookmarkEnd w:id="1"/>
    </w:p>
    <w:p w14:paraId="1B3EA052" w14:textId="77777777" w:rsidR="004076B3" w:rsidRPr="00320D82" w:rsidRDefault="004D787F">
      <w:pPr>
        <w:pBdr>
          <w:left w:val="single" w:sz="12" w:space="8" w:color="4472C4"/>
        </w:pBdr>
        <w:spacing w:before="80" w:after="160"/>
        <w:ind w:left="40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i/>
          <w:iCs/>
          <w:sz w:val="24"/>
          <w:szCs w:val="24"/>
        </w:rPr>
        <w:t>A monitorização integrada dos indicadores de produção, qualidade e manutenção pode apoiar decisões em tempo real para reduzir perdas e aumentar a eficiência?</w:t>
      </w:r>
    </w:p>
    <w:p w14:paraId="1B3EA053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Esta é a pergunta que todo o projeto tenta responder com evidência, não apenas com opinião. Ela é decomposta em sete perguntas auxiliares, respondidas com dados reais no notebook 13_deep_dive_analysis.ipynb, que corre por último (Etapa 7):</w:t>
      </w:r>
    </w:p>
    <w:p w14:paraId="1B3EA054" w14:textId="68A0C06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1. Qual é o desempenho operacional da fábrica em tempo real e quais fatores mais impactam produtividade e qualidade? </w:t>
      </w:r>
    </w:p>
    <w:p w14:paraId="1B3EA055" w14:textId="056658AE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2. Que máquinas, turnos e operadores apresentam maior variabilidade de desempenho e maior impacto na qualidade? </w:t>
      </w:r>
    </w:p>
    <w:p w14:paraId="1B3EA056" w14:textId="4588198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3. Como se relacionam os sinais de produção com reclamações REAIS de clientes, e quais têm mais impacto na satisfação do cliente? </w:t>
      </w:r>
    </w:p>
    <w:p w14:paraId="1B3EA057" w14:textId="7E955BA4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4. A fábrica opera dentro da sua capacidade e estabilidade de processo para garantir conformidade e satisfação do cliente? </w:t>
      </w:r>
    </w:p>
    <w:p w14:paraId="1B3EA058" w14:textId="755EB73F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5. Quais são as principais perdas operacionais e onde priorizar as ações de melhoria contínua? </w:t>
      </w:r>
    </w:p>
    <w:p w14:paraId="1B3EA059" w14:textId="263E4A9F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6. Como é monitorizada, em tempo real, a saúde operacional e do SGQ? </w:t>
      </w:r>
    </w:p>
    <w:p w14:paraId="1B3EA05B" w14:textId="4B833D2B" w:rsidR="004076B3" w:rsidRPr="00320D82" w:rsidRDefault="004D787F" w:rsidP="001D7546">
      <w:pPr>
        <w:pStyle w:val="PargrafodaLista"/>
        <w:numPr>
          <w:ilvl w:val="0"/>
          <w:numId w:val="2"/>
        </w:num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7. Que fatores influenciam o desempenho global e podem os desvios ser antecipados</w:t>
      </w:r>
      <w:r w:rsidR="001D7546" w:rsidRPr="00320D82">
        <w:rPr>
          <w:rFonts w:ascii="Arial" w:hAnsi="Arial" w:cs="Arial"/>
          <w:sz w:val="24"/>
          <w:szCs w:val="24"/>
        </w:rPr>
        <w:t>?</w:t>
      </w:r>
    </w:p>
    <w:p w14:paraId="1B3EA05C" w14:textId="77777777" w:rsidR="004076B3" w:rsidRPr="00677D83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" w:name="_Toc234732856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3. Estrutura do repositório</w:t>
      </w:r>
      <w:bookmarkEnd w:id="2"/>
    </w:p>
    <w:p w14:paraId="34E311B6" w14:textId="79974351" w:rsidR="007E7639" w:rsidRPr="00320D82" w:rsidRDefault="0068385B" w:rsidP="001B3F67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68385B">
        <w:rPr>
          <w:rFonts w:ascii="Arial" w:hAnsi="Arial" w:cs="Arial"/>
          <w:sz w:val="24"/>
          <w:szCs w:val="24"/>
        </w:rPr>
        <w:drawing>
          <wp:inline distT="0" distB="0" distL="0" distR="0" wp14:anchorId="3AFE7C6D" wp14:editId="71B2EB3E">
            <wp:extent cx="4888923" cy="3329940"/>
            <wp:effectExtent l="0" t="0" r="6985" b="3810"/>
            <wp:docPr id="1277157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558" cy="3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A05E" w14:textId="59F1E0C0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 xml:space="preserve">Esta organização separa claramente cinco camadas: dados (datasets/), lógica de transformação/análise/ML (scripts/), modelos treinados (models/), dashboards (power_bi/), e documentação de apoio (docs/, reports/). É a mesma lógica usada em qualquer projeto profissional de engenharia de dados: nunca misturar código com dados, e nunca misturar dados brutos com dados processados na mesma pasta. A pasta power_bi/ é onde </w:t>
      </w:r>
      <w:r w:rsidR="003D0D4B">
        <w:rPr>
          <w:rFonts w:ascii="Arial" w:hAnsi="Arial" w:cs="Arial"/>
          <w:sz w:val="24"/>
          <w:szCs w:val="24"/>
        </w:rPr>
        <w:t xml:space="preserve">estão </w:t>
      </w:r>
      <w:r w:rsidRPr="00320D82">
        <w:rPr>
          <w:rFonts w:ascii="Arial" w:hAnsi="Arial" w:cs="Arial"/>
          <w:sz w:val="24"/>
          <w:szCs w:val="24"/>
        </w:rPr>
        <w:t xml:space="preserve">os ficheiros .pbix dos dashboards construídos sobre as </w:t>
      </w:r>
      <w:r w:rsidRPr="00320D82">
        <w:rPr>
          <w:rFonts w:ascii="Arial" w:hAnsi="Arial" w:cs="Arial"/>
          <w:sz w:val="24"/>
          <w:szCs w:val="24"/>
        </w:rPr>
        <w:t>views MySQL.</w:t>
      </w:r>
    </w:p>
    <w:p w14:paraId="1B3EA05F" w14:textId="77777777" w:rsidR="004076B3" w:rsidRPr="00677D83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" w:name="_Toc234732857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4. Etapa 1 e 2 — Importar e Identificar Problemas</w:t>
      </w:r>
      <w:bookmarkEnd w:id="3"/>
    </w:p>
    <w:p w14:paraId="1B3EA060" w14:textId="77777777" w:rsidR="004076B3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Notebook: 01_import_and_inspect.ipynb</w:t>
      </w:r>
    </w:p>
    <w:p w14:paraId="1B3EA061" w14:textId="2C790F83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 primeira etapa é simples: usa</w:t>
      </w:r>
      <w:r w:rsidR="004641FC">
        <w:rPr>
          <w:rFonts w:ascii="Arial" w:hAnsi="Arial" w:cs="Arial"/>
          <w:sz w:val="24"/>
          <w:szCs w:val="24"/>
        </w:rPr>
        <w:t>mos</w:t>
      </w:r>
      <w:r w:rsidRPr="00320D82">
        <w:rPr>
          <w:rFonts w:ascii="Arial" w:hAnsi="Arial" w:cs="Arial"/>
          <w:sz w:val="24"/>
          <w:szCs w:val="24"/>
        </w:rPr>
        <w:t xml:space="preserve"> o pandas para carregar cada tabela CSV para memória. A segunda etapa responde a uma pergunta que tem de vir antes de qualquer limpeza — "em que estado é que os dados realmente chegam?". Para isso, corremos em cada tabela três comandos clássicos de diagnóstico: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50"/>
      </w:tblGrid>
      <w:tr w:rsidR="004076B3" w:rsidRPr="00320D82" w14:paraId="1B3EA064" w14:textId="77777777" w:rsidTr="001B3F67">
        <w:tc>
          <w:tcPr>
            <w:tcW w:w="4500" w:type="dxa"/>
            <w:shd w:val="clear" w:color="auto" w:fill="7F7F7F" w:themeFill="text1" w:themeFillTint="80"/>
          </w:tcPr>
          <w:p w14:paraId="1B3EA062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Comando</w:t>
            </w:r>
          </w:p>
        </w:tc>
        <w:tc>
          <w:tcPr>
            <w:tcW w:w="4850" w:type="dxa"/>
            <w:shd w:val="clear" w:color="auto" w:fill="7F7F7F" w:themeFill="text1" w:themeFillTint="80"/>
          </w:tcPr>
          <w:p w14:paraId="1B3EA063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O que revela</w:t>
            </w:r>
          </w:p>
        </w:tc>
      </w:tr>
      <w:tr w:rsidR="004076B3" w:rsidRPr="00320D82" w14:paraId="1B3EA067" w14:textId="77777777">
        <w:tc>
          <w:tcPr>
            <w:tcW w:w="4500" w:type="dxa"/>
          </w:tcPr>
          <w:p w14:paraId="1B3EA065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df.head(30)</w:t>
            </w:r>
          </w:p>
        </w:tc>
        <w:tc>
          <w:tcPr>
            <w:tcW w:w="4850" w:type="dxa"/>
          </w:tcPr>
          <w:p w14:paraId="1B3EA066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Como são os dados linha a linha — o primeiro contacto visual</w:t>
            </w:r>
          </w:p>
        </w:tc>
      </w:tr>
      <w:tr w:rsidR="004076B3" w:rsidRPr="00320D82" w14:paraId="1B3EA06A" w14:textId="77777777">
        <w:tc>
          <w:tcPr>
            <w:tcW w:w="4500" w:type="dxa"/>
          </w:tcPr>
          <w:p w14:paraId="1B3EA06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df.info()</w:t>
            </w:r>
          </w:p>
        </w:tc>
        <w:tc>
          <w:tcPr>
            <w:tcW w:w="4850" w:type="dxa"/>
          </w:tcPr>
          <w:p w14:paraId="1B3EA069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Nomes de colunas, tipos de dados, e contagem de valores não-nulos</w:t>
            </w:r>
          </w:p>
        </w:tc>
      </w:tr>
      <w:tr w:rsidR="004076B3" w:rsidRPr="00320D82" w14:paraId="1B3EA06D" w14:textId="77777777">
        <w:tc>
          <w:tcPr>
            <w:tcW w:w="4500" w:type="dxa"/>
          </w:tcPr>
          <w:p w14:paraId="1B3EA06B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df.isna().sum()</w:t>
            </w:r>
          </w:p>
        </w:tc>
        <w:tc>
          <w:tcPr>
            <w:tcW w:w="4850" w:type="dxa"/>
          </w:tcPr>
          <w:p w14:paraId="1B3EA06C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Quantos valores em falta existem, coluna a coluna</w:t>
            </w:r>
          </w:p>
        </w:tc>
      </w:tr>
    </w:tbl>
    <w:p w14:paraId="1B3EA06E" w14:textId="77777777" w:rsidR="004076B3" w:rsidRPr="00320D82" w:rsidRDefault="004076B3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1B3EA06F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Este diagnóstico revelou os problemas clássicos de dados de chão de fábrica presentes nas quatro tabelas de produção: categorias escritas de forma inconsistente (Injection Molding, injection molding, INJECTION MOLDING), valores em falta, quantidades negativas impossíveis (um RejectedQty</w:t>
      </w:r>
      <w:r w:rsidRPr="00320D82">
        <w:rPr>
          <w:rFonts w:ascii="Arial" w:hAnsi="Arial" w:cs="Arial"/>
          <w:sz w:val="24"/>
          <w:szCs w:val="24"/>
        </w:rPr>
        <w:t xml:space="preserve"> negativo — não se pode rejeitar "-12" peças), linhas duplicadas, e valores nulos disfarçados de texto (um espaço, um traço "-", uma barra "/").</w:t>
      </w:r>
    </w:p>
    <w:p w14:paraId="1B3EA070" w14:textId="75D7A98C" w:rsidR="004076B3" w:rsidRPr="00320D82" w:rsidRDefault="004D787F">
      <w:pPr>
        <w:spacing w:after="12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b/>
          <w:bCs/>
          <w:sz w:val="24"/>
          <w:szCs w:val="24"/>
        </w:rPr>
        <w:t>Porque é que isto importa</w:t>
      </w:r>
      <w:r w:rsidR="00CF606D">
        <w:rPr>
          <w:rFonts w:ascii="Arial" w:hAnsi="Arial" w:cs="Arial"/>
          <w:b/>
          <w:bCs/>
          <w:sz w:val="24"/>
          <w:szCs w:val="24"/>
        </w:rPr>
        <w:t>?</w:t>
      </w:r>
    </w:p>
    <w:p w14:paraId="1B3EA071" w14:textId="7EC36B38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Se estes problemas não forem identificados e corrigidos antes de calcular qualquer indicador (OEE, Cp/Cpk, MTBF), o erro propaga-se silenciosamente até ao dashboard final. </w:t>
      </w:r>
      <w:r w:rsidRPr="003D0D4B">
        <w:rPr>
          <w:rFonts w:ascii="Arial" w:hAnsi="Arial" w:cs="Arial"/>
          <w:b/>
          <w:bCs/>
          <w:i/>
          <w:iCs/>
          <w:sz w:val="24"/>
          <w:szCs w:val="24"/>
        </w:rPr>
        <w:t>Um analista de dados nunca confia cegamente numa fonte de dados</w:t>
      </w:r>
      <w:r w:rsidR="00CF606D" w:rsidRPr="003D0D4B">
        <w:rPr>
          <w:rFonts w:ascii="Arial" w:hAnsi="Arial" w:cs="Arial"/>
          <w:b/>
          <w:bCs/>
          <w:i/>
          <w:iCs/>
          <w:sz w:val="24"/>
          <w:szCs w:val="24"/>
        </w:rPr>
        <w:t xml:space="preserve">, ele </w:t>
      </w:r>
      <w:r w:rsidRPr="003D0D4B">
        <w:rPr>
          <w:rFonts w:ascii="Arial" w:hAnsi="Arial" w:cs="Arial"/>
          <w:b/>
          <w:bCs/>
          <w:i/>
          <w:iCs/>
          <w:sz w:val="24"/>
          <w:szCs w:val="24"/>
        </w:rPr>
        <w:t>verifica sempre primeiro.</w:t>
      </w:r>
    </w:p>
    <w:p w14:paraId="1B3EA072" w14:textId="77777777" w:rsidR="004076B3" w:rsidRPr="00677D83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" w:name="_Toc234732858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5. Etapa 3 — Limpeza de Dados e Engenharia de Colunas</w:t>
      </w:r>
      <w:bookmarkEnd w:id="4"/>
    </w:p>
    <w:p w14:paraId="072CB810" w14:textId="77777777" w:rsidR="002B0314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Notebook:02_data_cleaning_production.ipynb, </w:t>
      </w:r>
    </w:p>
    <w:p w14:paraId="0281F494" w14:textId="77777777" w:rsidR="002B0314" w:rsidRPr="00320D82" w:rsidRDefault="002B0314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03_data_cleaning_quality.ipynb</w:t>
      </w:r>
    </w:p>
    <w:p w14:paraId="1B3EA073" w14:textId="1AB8DD2A" w:rsidR="004076B3" w:rsidRPr="00320D82" w:rsidRDefault="002B0314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04_mysql_load_and_views.ipynb</w:t>
      </w:r>
    </w:p>
    <w:p w14:paraId="1B3EA074" w14:textId="35EC82D8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Esta é a etapa mais extensa do projeto. Toda a lógica de transformação </w:t>
      </w:r>
      <w:r w:rsidR="003D0D4B">
        <w:rPr>
          <w:rFonts w:ascii="Arial" w:hAnsi="Arial" w:cs="Arial"/>
          <w:sz w:val="24"/>
          <w:szCs w:val="24"/>
        </w:rPr>
        <w:t>está</w:t>
      </w:r>
      <w:r w:rsidRPr="00320D82">
        <w:rPr>
          <w:rFonts w:ascii="Arial" w:hAnsi="Arial" w:cs="Arial"/>
          <w:sz w:val="24"/>
          <w:szCs w:val="24"/>
        </w:rPr>
        <w:t xml:space="preserve"> num módulo Python reutilizável, scripts/notebook/etl_lib.py, organizado em seis secções. Os notebooks importam este módulo e chamam as suas funções</w:t>
      </w:r>
      <w:r w:rsidR="003D0D4B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 xml:space="preserve"> isto garante que qualquer notebook</w:t>
      </w:r>
      <w:r w:rsidRPr="00320D82">
        <w:rPr>
          <w:rFonts w:ascii="Arial" w:hAnsi="Arial" w:cs="Arial"/>
          <w:sz w:val="24"/>
          <w:szCs w:val="24"/>
        </w:rPr>
        <w:t xml:space="preserve"> que precise de "limpar esta coluna" ou "calcular o OEE" usa exatamente o mesmo código testado, e os resultados nunca divergem entre </w:t>
      </w:r>
      <w:r w:rsidR="00CE5D16">
        <w:rPr>
          <w:rFonts w:ascii="Arial" w:hAnsi="Arial" w:cs="Arial"/>
          <w:sz w:val="24"/>
          <w:szCs w:val="24"/>
        </w:rPr>
        <w:t xml:space="preserve">os </w:t>
      </w:r>
      <w:r w:rsidRPr="00320D82">
        <w:rPr>
          <w:rFonts w:ascii="Arial" w:hAnsi="Arial" w:cs="Arial"/>
          <w:sz w:val="24"/>
          <w:szCs w:val="24"/>
        </w:rPr>
        <w:t>notebooks.</w:t>
      </w:r>
    </w:p>
    <w:p w14:paraId="1B3EA075" w14:textId="77777777" w:rsidR="004076B3" w:rsidRPr="00677D83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5" w:name="_Toc234732859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5.1 Porque Python em vez de SQL para a limpeza?</w:t>
      </w:r>
      <w:bookmarkEnd w:id="5"/>
    </w:p>
    <w:p w14:paraId="1B3EA076" w14:textId="31A93853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Ambas as abordagens são válidas. Escolhemos Python porque várias regras de limpeza são sequenciais e dependem do histórico da linha anterior</w:t>
      </w:r>
      <w:r w:rsidR="00CE5D16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por exemplo, o número de sequência de lote de matéria-prima do LotId depende de comparar cada registo com o registo anterior da mesma ordem de fabrico (WorkOrder</w:t>
      </w:r>
      <w:r w:rsidRPr="00320D82">
        <w:rPr>
          <w:rFonts w:ascii="Arial" w:hAnsi="Arial" w:cs="Arial"/>
          <w:sz w:val="24"/>
          <w:szCs w:val="24"/>
        </w:rPr>
        <w:t>). Isto é natural num ciclo for do pandas, mas incómodo de expressar numa única instrução SQL. O MySQL entra depois de os dados estarem limpos</w:t>
      </w:r>
      <w:r w:rsidR="00CE5D16">
        <w:rPr>
          <w:rFonts w:ascii="Arial" w:hAnsi="Arial" w:cs="Arial"/>
          <w:sz w:val="24"/>
          <w:szCs w:val="24"/>
        </w:rPr>
        <w:t xml:space="preserve"> sendo </w:t>
      </w:r>
      <w:r w:rsidRPr="00320D82">
        <w:rPr>
          <w:rFonts w:ascii="Arial" w:hAnsi="Arial" w:cs="Arial"/>
          <w:sz w:val="24"/>
          <w:szCs w:val="24"/>
        </w:rPr>
        <w:t>a camada de serviço para o Power BI, não o local onde depuramos lógica de qualidade de dados.</w:t>
      </w:r>
    </w:p>
    <w:p w14:paraId="1B3EA077" w14:textId="77777777" w:rsidR="004076B3" w:rsidRPr="00677D83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6" w:name="_Toc234732860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lastRenderedPageBreak/>
        <w:t>5.2 Limpeza genérica</w:t>
      </w:r>
      <w:bookmarkEnd w:id="6"/>
    </w:p>
    <w:p w14:paraId="1B3EA078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Para cada tabela de factos, aplicamos, por esta ordem:</w:t>
      </w:r>
    </w:p>
    <w:p w14:paraId="1B3EA079" w14:textId="63DAA9B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normalize_placeholder_nulls — transforma</w:t>
      </w:r>
      <w:r w:rsidR="00CE5D16">
        <w:rPr>
          <w:rFonts w:ascii="Arial" w:hAnsi="Arial" w:cs="Arial"/>
          <w:sz w:val="24"/>
          <w:szCs w:val="24"/>
        </w:rPr>
        <w:t>r</w:t>
      </w:r>
      <w:r w:rsidRPr="00320D82">
        <w:rPr>
          <w:rFonts w:ascii="Arial" w:hAnsi="Arial" w:cs="Arial"/>
          <w:sz w:val="24"/>
          <w:szCs w:val="24"/>
        </w:rPr>
        <w:t xml:space="preserve"> "-", "--", "/", "//", um espaço isolado, etc. em NaN verdadeiro.</w:t>
      </w:r>
    </w:p>
    <w:p w14:paraId="1B3EA07A" w14:textId="0DBE9805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strip_whitespace — remo</w:t>
      </w:r>
      <w:r w:rsidR="00CE5D16">
        <w:rPr>
          <w:rFonts w:ascii="Arial" w:hAnsi="Arial" w:cs="Arial"/>
          <w:sz w:val="24"/>
          <w:szCs w:val="24"/>
        </w:rPr>
        <w:t>ver</w:t>
      </w:r>
      <w:r w:rsidRPr="00320D82">
        <w:rPr>
          <w:rFonts w:ascii="Arial" w:hAnsi="Arial" w:cs="Arial"/>
          <w:sz w:val="24"/>
          <w:szCs w:val="24"/>
        </w:rPr>
        <w:t xml:space="preserve"> espaços a mais no início, fim, e entre palavras.</w:t>
      </w:r>
    </w:p>
    <w:p w14:paraId="1B3EA07B" w14:textId="6C2E206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  <w:lang w:val="en-US"/>
        </w:rPr>
      </w:pPr>
      <w:r w:rsidRPr="00320D82">
        <w:rPr>
          <w:rFonts w:ascii="Arial" w:hAnsi="Arial" w:cs="Arial"/>
          <w:sz w:val="24"/>
          <w:szCs w:val="24"/>
          <w:lang w:val="en-US"/>
        </w:rPr>
        <w:t>standardize_categories — uniformiza</w:t>
      </w:r>
      <w:r w:rsidR="00CE5D16">
        <w:rPr>
          <w:rFonts w:ascii="Arial" w:hAnsi="Arial" w:cs="Arial"/>
          <w:sz w:val="24"/>
          <w:szCs w:val="24"/>
          <w:lang w:val="en-US"/>
        </w:rPr>
        <w:t>r</w:t>
      </w:r>
      <w:r w:rsidRPr="00320D82">
        <w:rPr>
          <w:rFonts w:ascii="Arial" w:hAnsi="Arial" w:cs="Arial"/>
          <w:sz w:val="24"/>
          <w:szCs w:val="24"/>
          <w:lang w:val="en-US"/>
        </w:rPr>
        <w:t xml:space="preserve"> categorias paraTitle Case (Injection Molding, não INJECTION MOLDING nem injection molding).</w:t>
      </w:r>
    </w:p>
    <w:p w14:paraId="1B3EA07C" w14:textId="6529BA0E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fix_negative_quantities — aplica</w:t>
      </w:r>
      <w:r w:rsidR="00CE5D16">
        <w:rPr>
          <w:rFonts w:ascii="Arial" w:hAnsi="Arial" w:cs="Arial"/>
          <w:sz w:val="24"/>
          <w:szCs w:val="24"/>
        </w:rPr>
        <w:t>r</w:t>
      </w:r>
      <w:r w:rsidRPr="00320D82">
        <w:rPr>
          <w:rFonts w:ascii="Arial" w:hAnsi="Arial" w:cs="Arial"/>
          <w:sz w:val="24"/>
          <w:szCs w:val="24"/>
        </w:rPr>
        <w:t xml:space="preserve"> valor absoluto a colunas de quantidade que nunca deveriam ser negativas.</w:t>
      </w:r>
    </w:p>
    <w:p w14:paraId="1B3EA07D" w14:textId="2C73A92E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drop_exact_duplicates — remove</w:t>
      </w:r>
      <w:r w:rsidR="00CE5D16">
        <w:rPr>
          <w:rFonts w:ascii="Arial" w:hAnsi="Arial" w:cs="Arial"/>
          <w:sz w:val="24"/>
          <w:szCs w:val="24"/>
        </w:rPr>
        <w:t>r</w:t>
      </w:r>
      <w:r w:rsidRPr="00320D82">
        <w:rPr>
          <w:rFonts w:ascii="Arial" w:hAnsi="Arial" w:cs="Arial"/>
          <w:sz w:val="24"/>
          <w:szCs w:val="24"/>
        </w:rPr>
        <w:t xml:space="preserve"> linhas totalmente duplicadas, e reporta</w:t>
      </w:r>
      <w:r w:rsidR="00CE5D16">
        <w:rPr>
          <w:rFonts w:ascii="Arial" w:hAnsi="Arial" w:cs="Arial"/>
          <w:sz w:val="24"/>
          <w:szCs w:val="24"/>
        </w:rPr>
        <w:t>r</w:t>
      </w:r>
      <w:r w:rsidRPr="00320D82">
        <w:rPr>
          <w:rFonts w:ascii="Arial" w:hAnsi="Arial" w:cs="Arial"/>
          <w:sz w:val="24"/>
          <w:szCs w:val="24"/>
        </w:rPr>
        <w:t xml:space="preserve"> quantas foram removidas.</w:t>
      </w:r>
    </w:p>
    <w:p w14:paraId="1B3EA07E" w14:textId="5C108A8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Nota importante: n</w:t>
      </w:r>
      <w:r w:rsidR="00CE5D16">
        <w:rPr>
          <w:rFonts w:ascii="Arial" w:hAnsi="Arial" w:cs="Arial"/>
          <w:sz w:val="24"/>
          <w:szCs w:val="24"/>
        </w:rPr>
        <w:t>ão</w:t>
      </w:r>
      <w:r w:rsidRPr="00320D82">
        <w:rPr>
          <w:rFonts w:ascii="Arial" w:hAnsi="Arial" w:cs="Arial"/>
          <w:sz w:val="24"/>
          <w:szCs w:val="24"/>
        </w:rPr>
        <w:t xml:space="preserve"> eliminamos silenciosamente dados. Cada função de limpeza imprime quantas linhas foram afetadas, para que a limpeza seja sempre auditável.</w:t>
      </w:r>
    </w:p>
    <w:p w14:paraId="1B3EA07F" w14:textId="77777777" w:rsidR="004076B3" w:rsidRPr="00677D83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7" w:name="_Toc234732861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5.3 Colunas de calendário: ISOWeek e ISOWeekday</w:t>
      </w:r>
      <w:bookmarkEnd w:id="7"/>
    </w:p>
    <w:p w14:paraId="1B3EA080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As regras de horas extra e turnos numa fábrica usam quase sempre a semana ISO (segunda a domingo, semana 1 é a que contém a primeira quinta-feira do ano) em vez da semana de calendário comum, porque garante que cada semana tem sempre 7 dias completos. "ISOWeek" é o número da semana ISO; "ISOWeekday" é o dia da semana ISO (1=segunda... 7=domingo).</w:t>
      </w:r>
    </w:p>
    <w:p w14:paraId="1B3EA081" w14:textId="77777777" w:rsidR="004076B3" w:rsidRPr="00677D83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8" w:name="_Toc234732862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5.4 ShiftNumber</w:t>
      </w:r>
      <w:bookmarkEnd w:id="8"/>
    </w:p>
    <w:p w14:paraId="1B3EA082" w14:textId="13C192CE" w:rsidR="004076B3" w:rsidRPr="00320D82" w:rsidRDefault="00C8511C">
      <w:pPr>
        <w:spacing w:after="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Devolve o turno de trabalho baseado no horário registado</w:t>
      </w:r>
      <w:r w:rsidR="004D787F" w:rsidRPr="00320D82">
        <w:rPr>
          <w:rFonts w:ascii="Arial" w:hAnsi="Arial" w:cs="Arial"/>
          <w:sz w:val="24"/>
          <w:szCs w:val="24"/>
        </w:rPr>
        <w:t>: turno 1 (06h-14h), turno 2 (14h-22h), turno 3 (22h-06h), calculado a partir da hora de início de cada registo (coluna StartTime).</w:t>
      </w:r>
    </w:p>
    <w:p w14:paraId="1B3EA083" w14:textId="77777777" w:rsidR="004076B3" w:rsidRPr="00677D83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9" w:name="_Toc234732863"/>
      <w:r w:rsidRPr="00677D83">
        <w:rPr>
          <w:rFonts w:ascii="Arial" w:hAnsi="Arial" w:cs="Arial"/>
          <w:color w:val="7F7F7F" w:themeColor="text1" w:themeTint="80"/>
          <w:sz w:val="24"/>
          <w:szCs w:val="24"/>
        </w:rPr>
        <w:t>5.5 LotId — o código de rastreabilidade de lote</w:t>
      </w:r>
      <w:bookmarkEnd w:id="9"/>
    </w:p>
    <w:p w14:paraId="1B3EA084" w14:textId="42642F52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Esta é a regra mais elaborada</w:t>
      </w:r>
      <w:r w:rsidR="00DD3898">
        <w:rPr>
          <w:rFonts w:ascii="Arial" w:hAnsi="Arial" w:cs="Arial"/>
          <w:sz w:val="24"/>
          <w:szCs w:val="24"/>
        </w:rPr>
        <w:t xml:space="preserve"> e importante</w:t>
      </w:r>
      <w:r w:rsidRPr="00320D82">
        <w:rPr>
          <w:rFonts w:ascii="Arial" w:hAnsi="Arial" w:cs="Arial"/>
          <w:sz w:val="24"/>
          <w:szCs w:val="24"/>
        </w:rPr>
        <w:t xml:space="preserve"> do projeto: um código de 16 caracteres que permite rastrear qualquer inspeção de qualidade até à ordem de fabrico (work order), turno e lote de matéria-prima exatos que a produziram.</w:t>
      </w:r>
    </w:p>
    <w:p w14:paraId="1B3EA085" w14:textId="77777777" w:rsidR="004076B3" w:rsidRPr="00320D82" w:rsidRDefault="004D787F">
      <w:pPr>
        <w:shd w:val="clear" w:color="auto" w:fill="F2F2F2"/>
        <w:spacing w:before="80" w:after="160"/>
        <w:ind w:left="200"/>
        <w:rPr>
          <w:rFonts w:ascii="Arial" w:hAnsi="Arial" w:cs="Arial"/>
          <w:sz w:val="24"/>
          <w:szCs w:val="24"/>
        </w:rPr>
      </w:pPr>
      <w:r w:rsidRPr="00320D82">
        <w:rPr>
          <w:rFonts w:ascii="Arial" w:eastAsia="Consolas" w:hAnsi="Arial" w:cs="Arial"/>
          <w:sz w:val="24"/>
          <w:szCs w:val="24"/>
        </w:rPr>
        <w:t>YY WW D T P MM OOOOO SS 26 09 2 2 1  01 06005 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6250"/>
      </w:tblGrid>
      <w:tr w:rsidR="004076B3" w:rsidRPr="00320D82" w14:paraId="1B3EA089" w14:textId="77777777" w:rsidTr="0075455B">
        <w:tc>
          <w:tcPr>
            <w:tcW w:w="1800" w:type="dxa"/>
            <w:shd w:val="clear" w:color="auto" w:fill="7F7F7F" w:themeFill="text1" w:themeFillTint="80"/>
          </w:tcPr>
          <w:p w14:paraId="1B3EA086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Segmento</w:t>
            </w:r>
          </w:p>
        </w:tc>
        <w:tc>
          <w:tcPr>
            <w:tcW w:w="1300" w:type="dxa"/>
            <w:shd w:val="clear" w:color="auto" w:fill="7F7F7F" w:themeFill="text1" w:themeFillTint="80"/>
          </w:tcPr>
          <w:p w14:paraId="1B3EA087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Dígitos</w:t>
            </w:r>
          </w:p>
        </w:tc>
        <w:tc>
          <w:tcPr>
            <w:tcW w:w="6250" w:type="dxa"/>
            <w:shd w:val="clear" w:color="auto" w:fill="7F7F7F" w:themeFill="text1" w:themeFillTint="80"/>
          </w:tcPr>
          <w:p w14:paraId="1B3EA08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Significado</w:t>
            </w:r>
          </w:p>
        </w:tc>
      </w:tr>
      <w:tr w:rsidR="004076B3" w:rsidRPr="00320D82" w14:paraId="1B3EA08D" w14:textId="77777777">
        <w:tc>
          <w:tcPr>
            <w:tcW w:w="1800" w:type="dxa"/>
          </w:tcPr>
          <w:p w14:paraId="1B3EA08A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YY</w:t>
            </w:r>
          </w:p>
        </w:tc>
        <w:tc>
          <w:tcPr>
            <w:tcW w:w="1300" w:type="dxa"/>
          </w:tcPr>
          <w:p w14:paraId="1B3EA08B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0" w:type="dxa"/>
          </w:tcPr>
          <w:p w14:paraId="1B3EA08C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Últimos 2 dígitos do ano</w:t>
            </w:r>
          </w:p>
        </w:tc>
      </w:tr>
      <w:tr w:rsidR="004076B3" w:rsidRPr="00320D82" w14:paraId="1B3EA091" w14:textId="77777777">
        <w:tc>
          <w:tcPr>
            <w:tcW w:w="1800" w:type="dxa"/>
          </w:tcPr>
          <w:p w14:paraId="1B3EA08E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WW</w:t>
            </w:r>
          </w:p>
        </w:tc>
        <w:tc>
          <w:tcPr>
            <w:tcW w:w="1300" w:type="dxa"/>
          </w:tcPr>
          <w:p w14:paraId="1B3EA08F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0" w:type="dxa"/>
          </w:tcPr>
          <w:p w14:paraId="1B3EA090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Número da semana ISO</w:t>
            </w:r>
          </w:p>
        </w:tc>
      </w:tr>
      <w:tr w:rsidR="004076B3" w:rsidRPr="00320D82" w14:paraId="1B3EA095" w14:textId="77777777">
        <w:tc>
          <w:tcPr>
            <w:tcW w:w="1800" w:type="dxa"/>
          </w:tcPr>
          <w:p w14:paraId="1B3EA092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</w:t>
            </w:r>
          </w:p>
        </w:tc>
        <w:tc>
          <w:tcPr>
            <w:tcW w:w="1300" w:type="dxa"/>
          </w:tcPr>
          <w:p w14:paraId="1B3EA093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50" w:type="dxa"/>
          </w:tcPr>
          <w:p w14:paraId="1B3EA094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Dia da semana ISO (1=segunda...7=domingo)</w:t>
            </w:r>
          </w:p>
        </w:tc>
      </w:tr>
      <w:tr w:rsidR="004076B3" w:rsidRPr="00320D82" w14:paraId="1B3EA099" w14:textId="77777777">
        <w:tc>
          <w:tcPr>
            <w:tcW w:w="1800" w:type="dxa"/>
          </w:tcPr>
          <w:p w14:paraId="1B3EA096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</w:t>
            </w:r>
          </w:p>
        </w:tc>
        <w:tc>
          <w:tcPr>
            <w:tcW w:w="1300" w:type="dxa"/>
          </w:tcPr>
          <w:p w14:paraId="1B3EA097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50" w:type="dxa"/>
          </w:tcPr>
          <w:p w14:paraId="1B3EA09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Turno (Shift): 1 (06-14h), 2 (14-22h), 3 (22-06h)</w:t>
            </w:r>
          </w:p>
        </w:tc>
      </w:tr>
      <w:tr w:rsidR="004076B3" w:rsidRPr="0068385B" w14:paraId="1B3EA09D" w14:textId="77777777">
        <w:tc>
          <w:tcPr>
            <w:tcW w:w="1800" w:type="dxa"/>
          </w:tcPr>
          <w:p w14:paraId="1B3EA09A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P</w:t>
            </w:r>
          </w:p>
        </w:tc>
        <w:tc>
          <w:tcPr>
            <w:tcW w:w="1300" w:type="dxa"/>
          </w:tcPr>
          <w:p w14:paraId="1B3EA09B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50" w:type="dxa"/>
          </w:tcPr>
          <w:p w14:paraId="1B3EA09C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Processo: Blow Molding=1, Injection Molding=2, Screen Printing=4, Hot Foil Stamping=5</w:t>
            </w:r>
          </w:p>
        </w:tc>
      </w:tr>
      <w:tr w:rsidR="004076B3" w:rsidRPr="00320D82" w14:paraId="1B3EA0A1" w14:textId="77777777">
        <w:tc>
          <w:tcPr>
            <w:tcW w:w="1800" w:type="dxa"/>
          </w:tcPr>
          <w:p w14:paraId="1B3EA09E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MM</w:t>
            </w:r>
          </w:p>
        </w:tc>
        <w:tc>
          <w:tcPr>
            <w:tcW w:w="1300" w:type="dxa"/>
          </w:tcPr>
          <w:p w14:paraId="1B3EA09F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0" w:type="dxa"/>
          </w:tcPr>
          <w:p w14:paraId="1B3EA0A0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Número da máquina (ISBM-001 → 01)</w:t>
            </w:r>
          </w:p>
        </w:tc>
      </w:tr>
      <w:tr w:rsidR="004076B3" w:rsidRPr="00320D82" w14:paraId="1B3EA0A5" w14:textId="77777777">
        <w:tc>
          <w:tcPr>
            <w:tcW w:w="1800" w:type="dxa"/>
          </w:tcPr>
          <w:p w14:paraId="1B3EA0A2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OOOOO</w:t>
            </w:r>
          </w:p>
        </w:tc>
        <w:tc>
          <w:tcPr>
            <w:tcW w:w="1300" w:type="dxa"/>
          </w:tcPr>
          <w:p w14:paraId="1B3EA0A3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6250" w:type="dxa"/>
          </w:tcPr>
          <w:p w14:paraId="1B3EA0A4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Número da ordem de fabrico (WO-6005 → 06005)</w:t>
            </w:r>
          </w:p>
        </w:tc>
      </w:tr>
      <w:tr w:rsidR="004076B3" w:rsidRPr="00320D82" w14:paraId="1B3EA0A9" w14:textId="77777777">
        <w:tc>
          <w:tcPr>
            <w:tcW w:w="1800" w:type="dxa"/>
          </w:tcPr>
          <w:p w14:paraId="1B3EA0A6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SS</w:t>
            </w:r>
          </w:p>
        </w:tc>
        <w:tc>
          <w:tcPr>
            <w:tcW w:w="1300" w:type="dxa"/>
          </w:tcPr>
          <w:p w14:paraId="1B3EA0A7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0" w:type="dxa"/>
          </w:tcPr>
          <w:p w14:paraId="1B3EA0A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Sequência do lote de matéria-prima (ver abaixo)</w:t>
            </w:r>
          </w:p>
        </w:tc>
      </w:tr>
    </w:tbl>
    <w:p w14:paraId="1B3EA0AA" w14:textId="77777777" w:rsidR="004076B3" w:rsidRPr="00320D82" w:rsidRDefault="004076B3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1B3EA0AB" w14:textId="3DCCCD0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Os últimos dois dígitos começam em 01 para cada nova ordem de fabrico (work order</w:t>
      </w:r>
      <w:r w:rsidRPr="00320D82">
        <w:rPr>
          <w:rFonts w:ascii="Arial" w:hAnsi="Arial" w:cs="Arial"/>
          <w:sz w:val="24"/>
          <w:szCs w:val="24"/>
        </w:rPr>
        <w:t>), e só aumentam quando o lote físico de matéria-prima em consumo realmente muda</w:t>
      </w:r>
      <w:r w:rsidR="00107F01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 xml:space="preserve"> uma simples mudança de turno não faz o contador avançar. É por isso que a tabela fact_material_consumption_raw tem duas colunas de lote, LotIdStart e LotIdEnd: os primeiros 14 caracteres podem diferir entre o início e o fim de um registo de consumo se esse registo atravessar uma mudança de turno, enquanto os dígitos de sequência de material se mantêm iguais, porque continua a ser o mesmo lote físico.</w:t>
      </w:r>
    </w:p>
    <w:p w14:paraId="1B3EA0AC" w14:textId="77777777" w:rsidR="004076B3" w:rsidRPr="00320D82" w:rsidRDefault="004D787F">
      <w:pPr>
        <w:spacing w:after="12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b/>
          <w:bCs/>
          <w:sz w:val="24"/>
          <w:szCs w:val="24"/>
        </w:rPr>
        <w:t>Um detalhe subtil tratado no código: valores em falta em "MaterialLot"</w:t>
      </w:r>
    </w:p>
    <w:p w14:paraId="1B3EA0AD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Depois de normalizar os nulos disfarçados (Etapa 3.2), alguns registos de "MaterialLot" ficam vazios. Isto quase sempre significa que o operador esqueceu-se de registar, não que surgiu um lote novo. Por isso, antes de calcular a sequência, preenchemos os valores em falta com o último lote conhecido dentro da mesma ordem de fabrico (função ffill_material_lot</w:t>
      </w:r>
      <w:r w:rsidRPr="00320D82">
        <w:rPr>
          <w:rFonts w:ascii="Arial" w:hAnsi="Arial" w:cs="Arial"/>
          <w:sz w:val="24"/>
          <w:szCs w:val="24"/>
        </w:rPr>
        <w:t>) — caso contrário, cada valor em falta seria lido como "um novo lote", inflacionando o contador sem motivo real.</w:t>
      </w:r>
    </w:p>
    <w:p w14:paraId="1B3EA0AE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0" w:name="_Toc234732864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5.6 Ligação de fact_downtime_raw a uma ordem de fabrico</w:t>
      </w:r>
      <w:bookmarkEnd w:id="10"/>
    </w:p>
    <w:p w14:paraId="1B3EA0AF" w14:textId="7BF0979F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As paragens de máquina não têm uma coluna WorkOrder própria</w:t>
      </w:r>
      <w:r w:rsidR="00EC5AC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uma paragem não é "produzida" por uma ordem, da mesma forma que um lote é. Para atribuir uma paragem à ordem que estava a decorrer nesse momento, reconstruímos o instante exato de início/fim de cada ordem (não apenas a hora do dia, já que uma ordem pode ultrapassar a meia-noite) e verificamos em que intervalo cada paragem cai, por máquina.</w:t>
      </w:r>
    </w:p>
    <w:p w14:paraId="1B3EA0B0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1" w:name="_Toc234732865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5.6.1 Paragens planeadas vs. não planeadas — analisadas em separado</w:t>
      </w:r>
      <w:bookmarkEnd w:id="11"/>
    </w:p>
    <w:p w14:paraId="1B3EA0B1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Decisão de desenho deliberada, e importante: a coluna PlannedStoppage</w:t>
      </w:r>
      <w:r w:rsidRPr="00320D82">
        <w:rPr>
          <w:rFonts w:ascii="Arial" w:hAnsi="Arial" w:cs="Arial"/>
          <w:sz w:val="24"/>
          <w:szCs w:val="24"/>
        </w:rPr>
        <w:t xml:space="preserve"> (Sim/Não, vinda diretamente do MES) é usada para dividir toda a análise de paragens em dois grupos ANTES de qualquer gráfico de Pareto ser construído.</w:t>
      </w:r>
    </w:p>
    <w:p w14:paraId="1B3EA0B2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O motivo: um único Pareto</w:t>
      </w:r>
      <w:r w:rsidRPr="00320D82">
        <w:rPr>
          <w:rFonts w:ascii="Arial" w:hAnsi="Arial" w:cs="Arial"/>
          <w:sz w:val="24"/>
          <w:szCs w:val="24"/>
        </w:rPr>
        <w:t xml:space="preserve"> sobre todos os motivos de paragem juntos é sempre dominado por eventos planeados — trocas de molde, limpeza de telas, a pausa de refeição do turno 3 — simplesmente porque acontecem por desenho, em praticamente todas as ordens. Ordenados por minutos totais, esses eventos planeados vão sempre ocupar o topo do gráfico e esconder os verdadeiros problemas de fiabilidade (falhas mecânicas/elétricas, faltas de material) que uma equipa de manutenção ou melhoria contínua precisa de atacar. </w:t>
      </w:r>
      <w:r w:rsidRPr="00320D82">
        <w:rPr>
          <w:rFonts w:ascii="Arial" w:hAnsi="Arial" w:cs="Arial"/>
          <w:sz w:val="24"/>
          <w:szCs w:val="24"/>
        </w:rPr>
        <w:t>Paragem planeada é uma questão de planeamento de capacidade; paragem não planeada é uma questão de fiabilidade — são duas conversas diferentes, e por isso duas análises diferentes.</w:t>
      </w:r>
    </w:p>
    <w:p w14:paraId="1B3EA0B3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Esta separação aparece em três sítios do projeto: na função etl_lib.add_maintenance_flags (cria a coluna UnplannedFailure), nos dois gráficos de Pareto separados do notebook 05 (paragens não planeadas vs. planeadas), e nas duas views</w:t>
      </w:r>
      <w:r w:rsidRPr="00320D82">
        <w:rPr>
          <w:rFonts w:ascii="Arial" w:hAnsi="Arial" w:cs="Arial"/>
          <w:sz w:val="24"/>
          <w:szCs w:val="24"/>
        </w:rPr>
        <w:t xml:space="preserve"> SQL dedicadas (vw_fact_downtime_unplanned_52w e vw_fact_downtime_planned_52w) — para que um relatório em Power BI fique estruturalmente impedido de as combinar por engano num único visual.</w:t>
      </w:r>
    </w:p>
    <w:p w14:paraId="1B3EA0B4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2" w:name="_Toc234732866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5.7 OEE — Overall Equipment Effectiveness</w:t>
      </w:r>
      <w:bookmarkEnd w:id="12"/>
    </w:p>
    <w:p w14:paraId="1B3EA0B5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O indicador central da Etapa 4 do dashboard de produção. É multiplicativo por design:</w:t>
      </w:r>
    </w:p>
    <w:p w14:paraId="1B3EA0B6" w14:textId="77777777" w:rsidR="004076B3" w:rsidRPr="00320D82" w:rsidRDefault="004D787F">
      <w:pPr>
        <w:pBdr>
          <w:left w:val="single" w:sz="12" w:space="8" w:color="4472C4"/>
        </w:pBdr>
        <w:spacing w:before="80" w:after="160"/>
        <w:ind w:left="40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i/>
          <w:iCs/>
          <w:sz w:val="24"/>
          <w:szCs w:val="24"/>
        </w:rPr>
        <w:t>OEE = Disponibilidade × Performance × Qualidade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50"/>
      </w:tblGrid>
      <w:tr w:rsidR="004076B3" w:rsidRPr="00320D82" w14:paraId="1B3EA0BA" w14:textId="77777777" w:rsidTr="0075455B">
        <w:tc>
          <w:tcPr>
            <w:tcW w:w="2200" w:type="dxa"/>
            <w:shd w:val="clear" w:color="auto" w:fill="7F7F7F" w:themeFill="text1" w:themeFillTint="80"/>
          </w:tcPr>
          <w:p w14:paraId="1B3EA0B7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600" w:type="dxa"/>
            <w:shd w:val="clear" w:color="auto" w:fill="7F7F7F" w:themeFill="text1" w:themeFillTint="80"/>
          </w:tcPr>
          <w:p w14:paraId="1B3EA0B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Fórmula</w:t>
            </w:r>
          </w:p>
        </w:tc>
        <w:tc>
          <w:tcPr>
            <w:tcW w:w="3550" w:type="dxa"/>
            <w:shd w:val="clear" w:color="auto" w:fill="7F7F7F" w:themeFill="text1" w:themeFillTint="80"/>
          </w:tcPr>
          <w:p w14:paraId="1B3EA0B9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O que mede</w:t>
            </w:r>
          </w:p>
        </w:tc>
      </w:tr>
      <w:tr w:rsidR="004076B3" w:rsidRPr="00320D82" w14:paraId="1B3EA0BE" w14:textId="77777777">
        <w:tc>
          <w:tcPr>
            <w:tcW w:w="2200" w:type="dxa"/>
          </w:tcPr>
          <w:p w14:paraId="1B3EA0BB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Disponibilidade</w:t>
            </w:r>
          </w:p>
        </w:tc>
        <w:tc>
          <w:tcPr>
            <w:tcW w:w="3600" w:type="dxa"/>
          </w:tcPr>
          <w:p w14:paraId="1B3EA0BC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Tempo de Produção / Tempo Planeado</w:t>
            </w:r>
          </w:p>
        </w:tc>
        <w:tc>
          <w:tcPr>
            <w:tcW w:w="3550" w:type="dxa"/>
          </w:tcPr>
          <w:p w14:paraId="1B3EA0BD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Quanto do tempo planeado a máquina esteve realmente a produzir (exclui paragens não planeadas)</w:t>
            </w:r>
          </w:p>
        </w:tc>
      </w:tr>
      <w:tr w:rsidR="004076B3" w:rsidRPr="00320D82" w14:paraId="1B3EA0C2" w14:textId="77777777">
        <w:tc>
          <w:tcPr>
            <w:tcW w:w="2200" w:type="dxa"/>
          </w:tcPr>
          <w:p w14:paraId="1B3EA0BF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3600" w:type="dxa"/>
          </w:tcPr>
          <w:p w14:paraId="1B3EA0C0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(Unidades produzidas / Tempo de Produção) / Capacidade nominal</w:t>
            </w:r>
          </w:p>
        </w:tc>
        <w:tc>
          <w:tcPr>
            <w:tcW w:w="3550" w:type="dxa"/>
          </w:tcPr>
          <w:p w14:paraId="1B3EA0C1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Quão perto da velocidade nominal da máquina se produziu</w:t>
            </w:r>
          </w:p>
        </w:tc>
      </w:tr>
      <w:tr w:rsidR="004076B3" w:rsidRPr="00320D82" w14:paraId="1B3EA0C6" w14:textId="77777777">
        <w:tc>
          <w:tcPr>
            <w:tcW w:w="2200" w:type="dxa"/>
          </w:tcPr>
          <w:p w14:paraId="1B3EA0C3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Qualidade</w:t>
            </w:r>
          </w:p>
        </w:tc>
        <w:tc>
          <w:tcPr>
            <w:tcW w:w="3600" w:type="dxa"/>
          </w:tcPr>
          <w:p w14:paraId="1B3EA0C4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(Unidades boas) / (Unidades produzidas)</w:t>
            </w:r>
          </w:p>
        </w:tc>
        <w:tc>
          <w:tcPr>
            <w:tcW w:w="3550" w:type="dxa"/>
          </w:tcPr>
          <w:p w14:paraId="1B3EA0C5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Rendimento de 100% da produção — diferente da decisão AQL por amostra</w:t>
            </w:r>
          </w:p>
        </w:tc>
      </w:tr>
    </w:tbl>
    <w:p w14:paraId="1B3EA0C7" w14:textId="77777777" w:rsidR="004076B3" w:rsidRPr="00320D82" w:rsidRDefault="004076B3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1B3EA0C8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Uma máquina que produz 100% do tempo planeado</w:t>
      </w:r>
      <w:r w:rsidRPr="00320D82">
        <w:rPr>
          <w:rFonts w:ascii="Arial" w:hAnsi="Arial" w:cs="Arial"/>
          <w:sz w:val="24"/>
          <w:szCs w:val="24"/>
        </w:rPr>
        <w:t xml:space="preserve"> mas a metade da velocidade nominal (Performance=0,5) tem exatamente o mesmo impacto no OEE do que uma máquina que para durante metade do tempo planeado — esta simetria é intencional e é o que torna o OEE tão útil: obriga a decompor "a fábrica está lenta" em qual das três causas realmente é.</w:t>
      </w:r>
    </w:p>
    <w:p w14:paraId="1B3EA0C9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O projeto calcula ainda: Tempo de Ciclo real (segundos por unidade), Tempo de Setup (paragens de tipo "Troca" ligadas a cada ordem), e Lead Time Throughput</w:t>
      </w:r>
      <w:r w:rsidRPr="00320D82">
        <w:rPr>
          <w:rFonts w:ascii="Arial" w:hAnsi="Arial" w:cs="Arial"/>
          <w:sz w:val="24"/>
          <w:szCs w:val="24"/>
        </w:rPr>
        <w:t xml:space="preserve"> (tempo desde o início de uma ordem até ao início da ordem seguinte na mesma máquina — captura tempo de fila/espera entre ordens que o "tempo de produção" sozinho não veria).</w:t>
      </w:r>
    </w:p>
    <w:p w14:paraId="1B3EA0CA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3" w:name="_Toc234732867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5.8 Controlo Estatístico do Processo (CEP/SPC)</w:t>
      </w:r>
      <w:bookmarkEnd w:id="13"/>
    </w:p>
    <w:p w14:paraId="1B3EA0CB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Aplicado às tabelas de inspeção variável de tampas e frascos, agrupado por Característica × Máquina × Molde × Produto — o agrupamento correto para um gráfico de controlo, já que misturar dois produtos diferentes no mesmo gráfico esconderia desvios reais atrás de ruído.</w:t>
      </w:r>
    </w:p>
    <w:p w14:paraId="1B3EA0CC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Carta X̄ (média): a média de cada subgrupo, com limites de controlo calculados a partir da própria variação histórica do processo (não dos limites de especificação), usando as constantes A2/D3/D4 que dependem do tamanho do subgrupo.</w:t>
      </w:r>
    </w:p>
    <w:p w14:paraId="1B3EA0CD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Carta R (amplitude): a amplitude (máximo − mínimo) de cada subgrupo, com os seus próprios limites.</w:t>
      </w:r>
    </w:p>
    <w:p w14:paraId="1B3EA0CE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Cp: "se este processo só tivesse a variação que vemos, caberia na janela de especificação?" — ignora se o processo está centrado.</w:t>
      </w:r>
    </w:p>
    <w:p w14:paraId="1B3EA0CF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Cpk</w:t>
      </w:r>
      <w:r w:rsidRPr="00320D82">
        <w:rPr>
          <w:rFonts w:ascii="Arial" w:hAnsi="Arial" w:cs="Arial"/>
          <w:sz w:val="24"/>
          <w:szCs w:val="24"/>
        </w:rPr>
        <w:t>: a pergunta mais útil — "dado onde o processo está realmente centrado, quanta margem existe antes de sair da especificação?" — por isso Cpk ≤ Cp sempre.</w:t>
      </w:r>
    </w:p>
    <w:p w14:paraId="1B3EA0D0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Pp/Ppk: as mesmas razões, mas usando a variação total observada (longo prazo) em vez de apenas a variação dentro de cada subgrupo. A diferença entre Cpk e Ppk mostra quanto da dispersão é deriva entre subgrupos versus ruído dentro deles.</w:t>
      </w:r>
    </w:p>
    <w:p w14:paraId="1B3EA0D1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4" w:name="_Toc234732868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5.9 Amostragem de qualidade (ISO 2859-1 / AQL)</w:t>
      </w:r>
      <w:bookmarkEnd w:id="14"/>
    </w:p>
    <w:p w14:paraId="1B3EA0D2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Em vez de inspecionar 100% de um lote, a norma ISO 2859-1 define o tamanho da amostra a retirar com base no tamanho do lote e no rigor de inspeção desejado ("Nível Geral II" neste projeto), e quantos defeitos nessa amostra ainda são aceitáveis (Ac) versus motivo de rejeição (Re), para um determinado AQL (Nível de Qualidade Aceitável, a percentagem máxima tolerável de defeituosos). Uma característica Crítica usa tipicamente um AQL apertado como 0,10% — mesmo um único defeito na amostra pode rejeitar o lote i</w:t>
      </w:r>
      <w:r w:rsidRPr="00320D82">
        <w:rPr>
          <w:rFonts w:ascii="Arial" w:hAnsi="Arial" w:cs="Arial"/>
          <w:sz w:val="24"/>
          <w:szCs w:val="24"/>
        </w:rPr>
        <w:t>nteiro, apropriado para algo como uma tampa que verte, onde o defeito é uma falha funcional/de segurança, não apenas estética.</w:t>
      </w:r>
    </w:p>
    <w:p w14:paraId="1B3EA0D3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5" w:name="_Toc234732869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5.10 Indicadores Six Sigma: DPU e DPMO</w:t>
      </w:r>
      <w:bookmarkEnd w:id="15"/>
    </w:p>
    <w:p w14:paraId="1B3EA0D4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DPU (Defeitos Por Unidade) e DPMO (Defeitos Por Milhão de Oportunidades) permitem comparar taxas de defeito entre processos com amostras e contagens de oportunidades muito diferentes, numa escala comum. Um processo "3 sigma" (~66.807 DPMO) é materialmente pior que um processo "5 sigma" (~233 DPMO) — a diferença entre eles é o tamanho real da oportunidade de melhoria.</w:t>
      </w:r>
    </w:p>
    <w:p w14:paraId="1B3EA0D5" w14:textId="77777777" w:rsidR="004076B3" w:rsidRPr="00AF09D9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6" w:name="_Toc234732870"/>
      <w:r w:rsidRPr="00AF09D9">
        <w:rPr>
          <w:rFonts w:ascii="Arial" w:hAnsi="Arial" w:cs="Arial"/>
          <w:color w:val="7F7F7F" w:themeColor="text1" w:themeTint="80"/>
          <w:sz w:val="24"/>
          <w:szCs w:val="24"/>
        </w:rPr>
        <w:t>5.11 MTBF e MTTR — fiabilidade de manutenção</w:t>
      </w:r>
      <w:bookmarkEnd w:id="1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50"/>
      </w:tblGrid>
      <w:tr w:rsidR="004076B3" w:rsidRPr="00320D82" w14:paraId="1B3EA0D9" w14:textId="77777777" w:rsidTr="00AF09D9">
        <w:tc>
          <w:tcPr>
            <w:tcW w:w="1800" w:type="dxa"/>
            <w:shd w:val="clear" w:color="auto" w:fill="7F7F7F" w:themeFill="text1" w:themeFillTint="80"/>
          </w:tcPr>
          <w:p w14:paraId="1B3EA0D6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Indicador</w:t>
            </w:r>
          </w:p>
        </w:tc>
        <w:tc>
          <w:tcPr>
            <w:tcW w:w="4000" w:type="dxa"/>
            <w:shd w:val="clear" w:color="auto" w:fill="7F7F7F" w:themeFill="text1" w:themeFillTint="80"/>
          </w:tcPr>
          <w:p w14:paraId="1B3EA0D7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Fórmula</w:t>
            </w:r>
          </w:p>
        </w:tc>
        <w:tc>
          <w:tcPr>
            <w:tcW w:w="3550" w:type="dxa"/>
            <w:shd w:val="clear" w:color="auto" w:fill="7F7F7F" w:themeFill="text1" w:themeFillTint="80"/>
          </w:tcPr>
          <w:p w14:paraId="1B3EA0D8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Interpretação</w:t>
            </w:r>
          </w:p>
        </w:tc>
      </w:tr>
      <w:tr w:rsidR="004076B3" w:rsidRPr="00320D82" w14:paraId="1B3EA0DD" w14:textId="77777777">
        <w:tc>
          <w:tcPr>
            <w:tcW w:w="1800" w:type="dxa"/>
          </w:tcPr>
          <w:p w14:paraId="1B3EA0DA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MTBF</w:t>
            </w:r>
          </w:p>
        </w:tc>
        <w:tc>
          <w:tcPr>
            <w:tcW w:w="4000" w:type="dxa"/>
          </w:tcPr>
          <w:p w14:paraId="1B3EA0DB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Tempo total em produção / nº de falhas não planeadas</w:t>
            </w:r>
          </w:p>
        </w:tc>
        <w:tc>
          <w:tcPr>
            <w:tcW w:w="3550" w:type="dxa"/>
          </w:tcPr>
          <w:p w14:paraId="1B3EA0DC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Tempo médio entre avarias — quanto maior, mais fiável</w:t>
            </w:r>
          </w:p>
        </w:tc>
      </w:tr>
      <w:tr w:rsidR="004076B3" w:rsidRPr="00320D82" w14:paraId="1B3EA0E1" w14:textId="77777777">
        <w:tc>
          <w:tcPr>
            <w:tcW w:w="1800" w:type="dxa"/>
          </w:tcPr>
          <w:p w14:paraId="1B3EA0DE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MTTR</w:t>
            </w:r>
          </w:p>
        </w:tc>
        <w:tc>
          <w:tcPr>
            <w:tcW w:w="4000" w:type="dxa"/>
          </w:tcPr>
          <w:p w14:paraId="1B3EA0DF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Duração média das paragens não planeadas</w:t>
            </w:r>
          </w:p>
        </w:tc>
        <w:tc>
          <w:tcPr>
            <w:tcW w:w="3550" w:type="dxa"/>
          </w:tcPr>
          <w:p w14:paraId="1B3EA0E0" w14:textId="77777777" w:rsidR="004076B3" w:rsidRPr="00320D82" w:rsidRDefault="004D787F">
            <w:pPr>
              <w:rPr>
                <w:rFonts w:ascii="Arial" w:hAnsi="Arial" w:cs="Arial"/>
                <w:sz w:val="24"/>
                <w:szCs w:val="24"/>
              </w:rPr>
            </w:pPr>
            <w:r w:rsidRPr="00320D82">
              <w:rPr>
                <w:rFonts w:ascii="Arial" w:hAnsi="Arial" w:cs="Arial"/>
                <w:color w:val="000000"/>
                <w:sz w:val="24"/>
                <w:szCs w:val="24"/>
              </w:rPr>
              <w:t>Tempo médio até reparação — quanto menor, mais ágil a equipa</w:t>
            </w:r>
          </w:p>
        </w:tc>
      </w:tr>
    </w:tbl>
    <w:p w14:paraId="1B3EA0E2" w14:textId="77777777" w:rsidR="004076B3" w:rsidRPr="00320D82" w:rsidRDefault="004076B3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1B3EA0E3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Calculados estritamente a partir de eventos classificados como FalhaNaoPlanejada</w:t>
      </w:r>
      <w:r w:rsidRPr="00320D82">
        <w:rPr>
          <w:rFonts w:ascii="Arial" w:hAnsi="Arial" w:cs="Arial"/>
          <w:sz w:val="24"/>
          <w:szCs w:val="24"/>
        </w:rPr>
        <w:t xml:space="preserve"> — avarias mecânicas/elétricas, falta de utilidades — excluindo deliberadamente trocas de molde/ferramenta planeadas e manutenção preventiva agendada. Misturar as duas faria uma máquina parecer menos </w:t>
      </w:r>
      <w:r w:rsidRPr="00320D82">
        <w:rPr>
          <w:rFonts w:ascii="Arial" w:hAnsi="Arial" w:cs="Arial"/>
          <w:sz w:val="24"/>
          <w:szCs w:val="24"/>
        </w:rPr>
        <w:lastRenderedPageBreak/>
        <w:t>fiável do que realmente é, porque uma paragem planeada é uma decisão de gestão, não uma falha de equipamento.</w:t>
      </w:r>
    </w:p>
    <w:p w14:paraId="1B3EA0E4" w14:textId="77777777" w:rsidR="004076B3" w:rsidRPr="0075455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7" w:name="_Toc234732871"/>
      <w:r w:rsidRPr="0075455B">
        <w:rPr>
          <w:rFonts w:ascii="Arial" w:hAnsi="Arial" w:cs="Arial"/>
          <w:color w:val="7F7F7F" w:themeColor="text1" w:themeTint="80"/>
          <w:sz w:val="24"/>
          <w:szCs w:val="24"/>
        </w:rPr>
        <w:t>5.12 Que indicadores viram colunas guardadas, e quais não?</w:t>
      </w:r>
      <w:bookmarkEnd w:id="17"/>
    </w:p>
    <w:p w14:paraId="1B3EA0E5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Nem todos os indicadores do briefing foram transformados em colunas persistidas — foi uma escolha deliberada:</w:t>
      </w:r>
    </w:p>
    <w:p w14:paraId="1B3EA0E6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Colunas por linha, constantes por grupo (limites de controlo, Cp/Cpk, DPU/DPMO): ficam guardadas, porque só precisam do próprio grupo da linha e são baratas de propagar com groupby().transform() — assim uma ferramenta de BI desenha uma carta de controlo com zero cálculo extra.</w:t>
      </w:r>
    </w:p>
    <w:p w14:paraId="1B3EA0E7" w14:textId="4E39F8A0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Agregados verdadeiros sobre muitas linhas/tabelas (FPY, Pareto, MTBF/MTTR, ranking de inspetores): não ficam guardados como colunas — um "First Pass</w:t>
      </w:r>
      <w:r w:rsidRPr="00320D82">
        <w:rPr>
          <w:rFonts w:ascii="Arial" w:hAnsi="Arial" w:cs="Arial"/>
          <w:sz w:val="24"/>
          <w:szCs w:val="24"/>
        </w:rPr>
        <w:t xml:space="preserve"> Yield" é um resumo da tabela, não uma propriedade de uma linha, por isso pertence a uma view/query/notebook, calculado no momento do relatório. </w:t>
      </w:r>
      <w:r w:rsidR="00CE1004">
        <w:rPr>
          <w:rFonts w:ascii="Arial" w:hAnsi="Arial" w:cs="Arial"/>
          <w:sz w:val="24"/>
          <w:szCs w:val="24"/>
        </w:rPr>
        <w:t xml:space="preserve">Segundo práticas </w:t>
      </w:r>
      <w:r w:rsidRPr="00320D82">
        <w:rPr>
          <w:rFonts w:ascii="Arial" w:hAnsi="Arial" w:cs="Arial"/>
          <w:sz w:val="24"/>
          <w:szCs w:val="24"/>
        </w:rPr>
        <w:t xml:space="preserve">padrão de data warehousing: </w:t>
      </w:r>
      <w:r w:rsidR="00CE1004">
        <w:rPr>
          <w:rFonts w:ascii="Arial" w:hAnsi="Arial" w:cs="Arial"/>
          <w:sz w:val="24"/>
          <w:szCs w:val="24"/>
        </w:rPr>
        <w:t xml:space="preserve">deve-se </w:t>
      </w:r>
      <w:r w:rsidRPr="00320D82">
        <w:rPr>
          <w:rFonts w:ascii="Arial" w:hAnsi="Arial" w:cs="Arial"/>
          <w:sz w:val="24"/>
          <w:szCs w:val="24"/>
        </w:rPr>
        <w:t>manter a tabela de factos na sua granularidade natural, e empurrar a agregação para a camada semântica/de relatório.</w:t>
      </w:r>
    </w:p>
    <w:p w14:paraId="1B3EA0E8" w14:textId="77777777" w:rsidR="004076B3" w:rsidRPr="00320D82" w:rsidRDefault="004D787F">
      <w:pPr>
        <w:pStyle w:val="Ttulo2"/>
        <w:rPr>
          <w:rFonts w:ascii="Arial" w:hAnsi="Arial" w:cs="Arial"/>
          <w:sz w:val="24"/>
          <w:szCs w:val="24"/>
        </w:rPr>
      </w:pPr>
      <w:bookmarkStart w:id="18" w:name="_Toc234732872"/>
      <w:r w:rsidRPr="00A079CD">
        <w:rPr>
          <w:rFonts w:ascii="Arial" w:hAnsi="Arial" w:cs="Arial"/>
          <w:color w:val="7F7F7F" w:themeColor="text1" w:themeTint="80"/>
          <w:sz w:val="24"/>
          <w:szCs w:val="24"/>
        </w:rPr>
        <w:t>5.13 Carregamento em MySQL e views de 52 semanas</w:t>
      </w:r>
      <w:bookmarkEnd w:id="18"/>
    </w:p>
    <w:p w14:paraId="1B3EA0E9" w14:textId="77777777" w:rsidR="004076B3" w:rsidRPr="00A079CD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A079CD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Notebook: 04_mysql_load_and_views.ipynb</w:t>
      </w:r>
    </w:p>
    <w:p w14:paraId="1B3EA0EA" w14:textId="61DBBAC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Depois de limpos, todos os dados são carregados no MySQL com to_sql (via SQLAlchemy</w:t>
      </w:r>
      <w:r w:rsidRPr="00320D82">
        <w:rPr>
          <w:rFonts w:ascii="Arial" w:hAnsi="Arial" w:cs="Arial"/>
          <w:sz w:val="24"/>
          <w:szCs w:val="24"/>
        </w:rPr>
        <w:t>), para que as equipas de produção, qualidade e manutenção possam consultar os mesmos dados governados independentemente deste repositório. O esquema (CREATE TABLE) é gerado automaticamente a partir dos tipos de dados reais dos CSVs limpos</w:t>
      </w:r>
      <w:r w:rsidR="005F6647">
        <w:rPr>
          <w:rFonts w:ascii="Arial" w:hAnsi="Arial" w:cs="Arial"/>
          <w:sz w:val="24"/>
          <w:szCs w:val="24"/>
        </w:rPr>
        <w:t>,</w:t>
      </w:r>
      <w:r w:rsidRPr="00320D82">
        <w:rPr>
          <w:rFonts w:ascii="Arial" w:hAnsi="Arial" w:cs="Arial"/>
          <w:sz w:val="24"/>
          <w:szCs w:val="24"/>
        </w:rPr>
        <w:t xml:space="preserve"> isto garante que o esquema nunca diverge do que a Etapa 3 realmente produz.</w:t>
      </w:r>
    </w:p>
    <w:p w14:paraId="1B3EA0EC" w14:textId="71DE625B" w:rsidR="004076B3" w:rsidRPr="00320D82" w:rsidRDefault="004D787F" w:rsidP="005F6647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As views SQL implementam uma janela móvel de 52 semanas: cada view filtra por Date &gt;= (data mais recente na tabela − 52 semanas). Como uma VIEW volta a correr a sua consulta sempre que é lida, </w:t>
      </w:r>
      <w:r w:rsidRPr="00320D82">
        <w:rPr>
          <w:rFonts w:ascii="Arial" w:hAnsi="Arial" w:cs="Arial"/>
          <w:sz w:val="24"/>
          <w:szCs w:val="24"/>
        </w:rPr>
        <w:t xml:space="preserve">no momento em que um novo registo de produção é inserido, a data mais recente avança e a janela deixa cair silenciosamente o que passou a ter mais de 52 semanas </w:t>
      </w:r>
      <w:r w:rsidR="005F6647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sem necessidade de nenhum trabalho agendado ou atualização manual. O Power BI liga-se sempre às views, nunca às tabelas base. As paragens (downtime) geram três views</w:t>
      </w:r>
      <w:r w:rsidRPr="00320D82">
        <w:rPr>
          <w:rFonts w:ascii="Arial" w:hAnsi="Arial" w:cs="Arial"/>
          <w:sz w:val="24"/>
          <w:szCs w:val="24"/>
        </w:rPr>
        <w:t>: uma combinada (vw_fact_downtime_52w) e duas separadas — vw_fact_downtime_planned_52w e vw_fact_downtime_unplanned_52w — para impedir estruturalmente que um relatório combine paragens planeadas e não planeadas no mesmo Pareto.</w:t>
      </w:r>
    </w:p>
    <w:p w14:paraId="1B3EA0ED" w14:textId="77777777" w:rsidR="004076B3" w:rsidRPr="0021540D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19" w:name="_Toc234732873"/>
      <w:r w:rsidRPr="0021540D">
        <w:rPr>
          <w:rFonts w:ascii="Arial" w:hAnsi="Arial" w:cs="Arial"/>
          <w:color w:val="7F7F7F" w:themeColor="text1" w:themeTint="80"/>
          <w:sz w:val="24"/>
          <w:szCs w:val="24"/>
        </w:rPr>
        <w:t>6. Etapa 4 — Análise Inicial e Scorecard de Indicadores</w:t>
      </w:r>
      <w:bookmarkEnd w:id="19"/>
    </w:p>
    <w:p w14:paraId="498E2711" w14:textId="6D7D9D9A" w:rsidR="002635D4" w:rsidRPr="00183D0A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183D0A">
        <w:rPr>
          <w:rFonts w:ascii="Arial" w:hAnsi="Arial" w:cs="Arial"/>
          <w:b/>
          <w:bCs/>
          <w:color w:val="EE0000"/>
          <w:sz w:val="24"/>
          <w:szCs w:val="24"/>
        </w:rPr>
        <w:t>Notebook: 05_initial_analysis.ipynb</w:t>
      </w:r>
    </w:p>
    <w:p w14:paraId="1B3EA0EE" w14:textId="7C59B984" w:rsidR="004076B3" w:rsidRPr="00320D82" w:rsidRDefault="002635D4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</w:rPr>
        <w:t>06_kpi_scorecard.ipynb</w:t>
      </w:r>
      <w:r w:rsidR="004D787F" w:rsidRPr="00320D82">
        <w:rPr>
          <w:rFonts w:ascii="Arial" w:hAnsi="Arial" w:cs="Arial"/>
          <w:color w:val="EE0000"/>
          <w:sz w:val="24"/>
          <w:szCs w:val="24"/>
        </w:rPr>
        <w:t xml:space="preserve"> </w:t>
      </w:r>
      <w:r w:rsidR="004D787F" w:rsidRPr="00320D82">
        <w:rPr>
          <w:rFonts w:ascii="Arial" w:hAnsi="Arial" w:cs="Arial"/>
          <w:sz w:val="24"/>
          <w:szCs w:val="24"/>
        </w:rPr>
        <w:t>— todos os gráficos também exportados como PNG em reports/</w:t>
      </w:r>
    </w:p>
    <w:p w14:paraId="1B3EA0EF" w14:textId="4F9D3E74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Primeira análise exploratória de cada domínio, sempre com um gráfico a acompanhar cada indicador</w:t>
      </w:r>
      <w:r w:rsidR="00FE2221" w:rsidRPr="00320D82">
        <w:rPr>
          <w:rFonts w:ascii="Arial" w:hAnsi="Arial" w:cs="Arial"/>
          <w:sz w:val="24"/>
          <w:szCs w:val="24"/>
        </w:rPr>
        <w:t xml:space="preserve">, pois </w:t>
      </w:r>
      <w:r w:rsidRPr="00320D82">
        <w:rPr>
          <w:rFonts w:ascii="Arial" w:hAnsi="Arial" w:cs="Arial"/>
          <w:sz w:val="24"/>
          <w:szCs w:val="24"/>
        </w:rPr>
        <w:t xml:space="preserve"> uma tabela de números raramente mostra onde agir, um gráfico mostra.</w:t>
      </w:r>
    </w:p>
    <w:p w14:paraId="1B3EA0F0" w14:textId="77777777" w:rsidR="004076B3" w:rsidRPr="0021540D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0" w:name="_Toc234732874"/>
      <w:r w:rsidRPr="0021540D">
        <w:rPr>
          <w:rFonts w:ascii="Arial" w:hAnsi="Arial" w:cs="Arial"/>
          <w:color w:val="7F7F7F" w:themeColor="text1" w:themeTint="80"/>
          <w:sz w:val="24"/>
          <w:szCs w:val="24"/>
        </w:rPr>
        <w:t>6.1 Produção</w:t>
      </w:r>
      <w:bookmarkEnd w:id="20"/>
    </w:p>
    <w:p w14:paraId="1B3EA0F1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OEE por processo (componentes Availability/Performance/Quality lado a lado).</w:t>
      </w:r>
    </w:p>
    <w:p w14:paraId="1B3EA0F2" w14:textId="6FC58BF6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Tendência semanal de OEE por processo</w:t>
      </w:r>
      <w:r w:rsidR="00FE2221" w:rsidRPr="00320D82">
        <w:rPr>
          <w:rFonts w:ascii="Arial" w:hAnsi="Arial" w:cs="Arial"/>
          <w:sz w:val="24"/>
          <w:szCs w:val="24"/>
        </w:rPr>
        <w:t xml:space="preserve"> que</w:t>
      </w:r>
      <w:r w:rsidRPr="00320D82">
        <w:rPr>
          <w:rFonts w:ascii="Arial" w:hAnsi="Arial" w:cs="Arial"/>
          <w:sz w:val="24"/>
          <w:szCs w:val="24"/>
        </w:rPr>
        <w:t xml:space="preserve"> revela se a fábrica está a melhorar, estável, ou a degradar.</w:t>
      </w:r>
    </w:p>
    <w:p w14:paraId="1B3EA0F3" w14:textId="71C22CA3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Ranking de máquinas dentro de cada processo</w:t>
      </w:r>
      <w:r w:rsidR="00FE2221" w:rsidRPr="00320D82">
        <w:rPr>
          <w:rFonts w:ascii="Arial" w:hAnsi="Arial" w:cs="Arial"/>
          <w:sz w:val="24"/>
          <w:szCs w:val="24"/>
        </w:rPr>
        <w:t xml:space="preserve"> os </w:t>
      </w:r>
      <w:r w:rsidRPr="00320D82">
        <w:rPr>
          <w:rFonts w:ascii="Arial" w:hAnsi="Arial" w:cs="Arial"/>
          <w:sz w:val="24"/>
          <w:szCs w:val="24"/>
        </w:rPr>
        <w:t>quais máquinas específicas puxam a média do processo para baixo.</w:t>
      </w:r>
    </w:p>
    <w:p w14:paraId="1B3EA0F4" w14:textId="14A2C539" w:rsidR="004076B3" w:rsidRPr="00320D82" w:rsidRDefault="00A704B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02</w:t>
      </w:r>
      <w:r w:rsidR="004D787F" w:rsidRPr="00320D82">
        <w:rPr>
          <w:rFonts w:ascii="Arial" w:hAnsi="Arial" w:cs="Arial"/>
          <w:sz w:val="24"/>
          <w:szCs w:val="24"/>
        </w:rPr>
        <w:t xml:space="preserve"> Paretos</w:t>
      </w:r>
      <w:r w:rsidR="004D787F" w:rsidRPr="00320D82">
        <w:rPr>
          <w:rFonts w:ascii="Arial" w:hAnsi="Arial" w:cs="Arial"/>
          <w:sz w:val="24"/>
          <w:szCs w:val="24"/>
        </w:rPr>
        <w:t xml:space="preserve"> de causas de paragem, em separado: um só com paragens não planeadas (prioridades de fiabilidade) e outro só com paragens planeadas (contexto de planeamento de capacidade)</w:t>
      </w:r>
      <w:r w:rsidRPr="00320D82">
        <w:rPr>
          <w:rFonts w:ascii="Arial" w:hAnsi="Arial" w:cs="Arial"/>
          <w:sz w:val="24"/>
          <w:szCs w:val="24"/>
        </w:rPr>
        <w:t xml:space="preserve">. Estes </w:t>
      </w:r>
      <w:r w:rsidR="004D787F" w:rsidRPr="00320D82">
        <w:rPr>
          <w:rFonts w:ascii="Arial" w:hAnsi="Arial" w:cs="Arial"/>
          <w:sz w:val="24"/>
          <w:szCs w:val="24"/>
        </w:rPr>
        <w:t xml:space="preserve"> nunca </w:t>
      </w:r>
      <w:r w:rsidRPr="00320D82">
        <w:rPr>
          <w:rFonts w:ascii="Arial" w:hAnsi="Arial" w:cs="Arial"/>
          <w:sz w:val="24"/>
          <w:szCs w:val="24"/>
        </w:rPr>
        <w:t xml:space="preserve">devem ser </w:t>
      </w:r>
      <w:r w:rsidR="004D787F" w:rsidRPr="00320D82">
        <w:rPr>
          <w:rFonts w:ascii="Arial" w:hAnsi="Arial" w:cs="Arial"/>
          <w:sz w:val="24"/>
          <w:szCs w:val="24"/>
        </w:rPr>
        <w:t>combinados.</w:t>
      </w:r>
    </w:p>
    <w:p w14:paraId="1B3EA0F5" w14:textId="77777777" w:rsidR="004076B3" w:rsidRPr="007B442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1" w:name="_Toc234732875"/>
      <w:r w:rsidRPr="007B442B">
        <w:rPr>
          <w:rFonts w:ascii="Arial" w:hAnsi="Arial" w:cs="Arial"/>
          <w:color w:val="7F7F7F" w:themeColor="text1" w:themeTint="80"/>
          <w:sz w:val="24"/>
          <w:szCs w:val="24"/>
        </w:rPr>
        <w:t>6.2 Qualidade</w:t>
      </w:r>
      <w:bookmarkEnd w:id="21"/>
    </w:p>
    <w:p w14:paraId="1B3EA0F6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First Pass Yield (FPY) por família de produto (tampa, frasco, tinta).</w:t>
      </w:r>
    </w:p>
    <w:p w14:paraId="1B3EA0F7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Pareto de defeitos entre as três famílias — que característica gera mais peças rejeitadas.</w:t>
      </w:r>
    </w:p>
    <w:p w14:paraId="1B3EA0F8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Heatmap de capacidade do processo (Cpk) por máquina × característica — Cpk &lt; 1,33 é o limiar de ação comum em Six Sigma.</w:t>
      </w:r>
    </w:p>
    <w:p w14:paraId="1B3EA0F9" w14:textId="77777777" w:rsidR="004076B3" w:rsidRPr="007B442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2" w:name="_Toc234732876"/>
      <w:r w:rsidRPr="007B442B">
        <w:rPr>
          <w:rFonts w:ascii="Arial" w:hAnsi="Arial" w:cs="Arial"/>
          <w:color w:val="7F7F7F" w:themeColor="text1" w:themeTint="80"/>
          <w:sz w:val="24"/>
          <w:szCs w:val="24"/>
        </w:rPr>
        <w:t>6.3 Manutenção</w:t>
      </w:r>
      <w:bookmarkEnd w:id="22"/>
    </w:p>
    <w:p w14:paraId="1B3EA0FA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MTBF e MTTR por máquina.</w:t>
      </w:r>
    </w:p>
    <w:p w14:paraId="1B3EA0FB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Divisão paragem planeada vs. não planeada — um indicador de maturidade: um programa de manutenção maduro é dominado por paragens planeadas, não por "apagar incêndios".</w:t>
      </w:r>
    </w:p>
    <w:p w14:paraId="1B3EA0FC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Downtime total por processo — que processo é mais difícil de manter em funcionamento.</w:t>
      </w:r>
    </w:p>
    <w:p w14:paraId="1B3EA0FD" w14:textId="77777777" w:rsidR="004076B3" w:rsidRPr="007B442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3" w:name="_Toc234732877"/>
      <w:r w:rsidRPr="007B442B">
        <w:rPr>
          <w:rFonts w:ascii="Arial" w:hAnsi="Arial" w:cs="Arial"/>
          <w:color w:val="7F7F7F" w:themeColor="text1" w:themeTint="80"/>
          <w:sz w:val="24"/>
          <w:szCs w:val="24"/>
        </w:rPr>
        <w:t>6.4 Scorecard de Indicadores (KPI Scorecard)</w:t>
      </w:r>
      <w:bookmarkEnd w:id="23"/>
    </w:p>
    <w:p w14:paraId="1B3EA0FE" w14:textId="77777777" w:rsidR="004076B3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Notebook: 06_kpi_scorecard.ipynb</w:t>
      </w:r>
    </w:p>
    <w:p w14:paraId="1B3EA0FF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Notebook de auditoria dedicado: percorre duas checklists</w:t>
      </w:r>
      <w:r w:rsidRPr="00320D82">
        <w:rPr>
          <w:rFonts w:ascii="Arial" w:hAnsi="Arial" w:cs="Arial"/>
          <w:sz w:val="24"/>
          <w:szCs w:val="24"/>
        </w:rPr>
        <w:t xml:space="preserve"> — 13 indicadores de Produção e 14 de Qualidade — confirma quais já estavam calculados nas Etapas 3-4, e adiciona todos os que faltavam. Indicadores acrescentados: Produção Planejada x Real, Eficiência por operador, Scrap (%), Refugo, Retrabalho (estimado — ver nota abaixo), Tempo de Setup por processo, Cumprimento do Plano de Produção, Taxa de Aprovação na Inspeção, PPM </w:t>
      </w:r>
      <w:r w:rsidRPr="00320D82">
        <w:rPr>
          <w:rFonts w:ascii="Arial" w:hAnsi="Arial" w:cs="Arial"/>
          <w:sz w:val="24"/>
          <w:szCs w:val="24"/>
        </w:rPr>
        <w:t>de Defeitos (produção vs. amostra), Número de lotes aprovados/rejeitados, Inspeções realizadas, uma Carta de Controlo X̄-R real (os limites já existiam, o gráfico não), Tendência dos principais defeitos, e Top 10 defeitos. Termina com uma tabela de cobertura que confirma: todos os 27 indicadores pedidos estão agora no projeto.</w:t>
      </w:r>
    </w:p>
    <w:p w14:paraId="1B3EA103" w14:textId="77777777" w:rsidR="004076B3" w:rsidRPr="007B442B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4" w:name="_Toc234732878"/>
      <w:r w:rsidRPr="007B442B">
        <w:rPr>
          <w:rFonts w:ascii="Arial" w:hAnsi="Arial" w:cs="Arial"/>
          <w:color w:val="7F7F7F" w:themeColor="text1" w:themeTint="80"/>
          <w:sz w:val="24"/>
          <w:szCs w:val="24"/>
        </w:rPr>
        <w:t>7. Etapa 5 — Domínio de Asseguração da Qualidade</w:t>
      </w:r>
      <w:bookmarkEnd w:id="24"/>
    </w:p>
    <w:p w14:paraId="6934FD1D" w14:textId="30DF2DF5" w:rsidR="00A704BF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Notebook: 07_data_cleaning_qa.ipynb</w:t>
      </w:r>
    </w:p>
    <w:p w14:paraId="1B3EA104" w14:textId="3148236A" w:rsidR="004076B3" w:rsidRPr="00320D82" w:rsidRDefault="00A704B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08_quality_assurance_dashboard.ipynb</w:t>
      </w:r>
    </w:p>
    <w:p w14:paraId="1B3EA105" w14:textId="4A583D69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Esta secção estende o projeto para além do chão de fábrica: o que acontece depois de um produto ser expedido a um cliente, e o que acontece antes, quando a matéria-prima chega à fábrica. Segue exatamente a mesma disciplina das etapas anteriores</w:t>
      </w:r>
      <w:r w:rsidR="007B442B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limpeza genérica, depois engenharia de colunas específica do domínio, depois análise</w:t>
      </w:r>
      <w:r w:rsidR="007B442B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e liga-se ao mesmo pipeline datasets/processed → MySQL → Power BI.</w:t>
      </w:r>
    </w:p>
    <w:p w14:paraId="1B3EA106" w14:textId="77777777" w:rsidR="004076B3" w:rsidRPr="007B442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5" w:name="_Toc234732879"/>
      <w:r w:rsidRPr="007B442B">
        <w:rPr>
          <w:rFonts w:ascii="Arial" w:hAnsi="Arial" w:cs="Arial"/>
          <w:color w:val="7F7F7F" w:themeColor="text1" w:themeTint="80"/>
          <w:sz w:val="24"/>
          <w:szCs w:val="24"/>
        </w:rPr>
        <w:t>7.1 Modelo de dados</w:t>
      </w:r>
      <w:bookmarkEnd w:id="25"/>
    </w:p>
    <w:p w14:paraId="1B3EA107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dim_customer</w:t>
      </w:r>
      <w:r w:rsidRPr="00320D82">
        <w:rPr>
          <w:rFonts w:ascii="Arial" w:hAnsi="Arial" w:cs="Arial"/>
          <w:sz w:val="24"/>
          <w:szCs w:val="24"/>
        </w:rPr>
        <w:t xml:space="preserve"> — clientes da região metropolitana de Curitiba/PR que compram frascos e tampas para embalagem cosmética.</w:t>
      </w:r>
    </w:p>
    <w:p w14:paraId="1B3EA108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dim_supplier — fornecedores de resina e masterbatch.</w:t>
      </w:r>
    </w:p>
    <w:p w14:paraId="1B3EA109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dim_raw_material_control_plan — plano de inspeção de entrada da matéria-prima, referenciando normas ASTM/ISO reais.</w:t>
      </w:r>
    </w:p>
    <w:p w14:paraId="1B3EA10A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fact_sales_processed — uma linha por expedição (uma ordem de fabrico expedida a um cliente).</w:t>
      </w:r>
    </w:p>
    <w:p w14:paraId="1B3EA10B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fact_customer_complaints_processed — uma linha por reclamação, ligada ao WorkOrder/LotId exatos que a originaram.</w:t>
      </w:r>
    </w:p>
    <w:p w14:paraId="1B3EA10C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fact_raw_material_inspection_processed — uma linha por lote de matéria-prima × característica testada.</w:t>
      </w:r>
    </w:p>
    <w:p w14:paraId="1B3EA10D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fact_raw_material_lot_disposition_processed — uma linha por lote de matéria-prima recebido, com a decisão final (Aceite / Aceite com Desvio / Rejeitado).</w:t>
      </w:r>
    </w:p>
    <w:p w14:paraId="1B3EA10E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fact_supplier_complaints_processed — uma linha por reclamação registada junto de um fornecedor.</w:t>
      </w:r>
    </w:p>
    <w:p w14:paraId="1B3EA10F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fact_nonconformance_processed — uma linha por não conformidade (Interna ou Externa).</w:t>
      </w:r>
    </w:p>
    <w:p w14:paraId="1B3EA110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fact_capa_processed</w:t>
      </w:r>
      <w:r w:rsidRPr="00320D82">
        <w:rPr>
          <w:rFonts w:ascii="Arial" w:hAnsi="Arial" w:cs="Arial"/>
          <w:sz w:val="24"/>
          <w:szCs w:val="24"/>
        </w:rPr>
        <w:t xml:space="preserve"> — uma linha por ação corretiva/preventiva, ligada à sua NC de origem.</w:t>
      </w:r>
    </w:p>
    <w:p w14:paraId="1B3EA111" w14:textId="77777777" w:rsidR="004076B3" w:rsidRPr="00320D82" w:rsidRDefault="004D787F">
      <w:pPr>
        <w:spacing w:after="12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b/>
          <w:bCs/>
          <w:sz w:val="24"/>
          <w:szCs w:val="24"/>
        </w:rPr>
        <w:t>Nota sobre os nomes de clientes e fornecedores</w:t>
      </w:r>
    </w:p>
    <w:p w14:paraId="1B3EA112" w14:textId="1E0B8FA3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dim_customer e dim_supplier usam nomes de empresa inventados — empresas cosméticas fictícias da região de Curitiba</w:t>
      </w:r>
      <w:r w:rsidR="00CD23D1">
        <w:rPr>
          <w:rFonts w:ascii="Arial" w:hAnsi="Arial" w:cs="Arial"/>
          <w:sz w:val="24"/>
          <w:szCs w:val="24"/>
        </w:rPr>
        <w:t>/PR - Brasil</w:t>
      </w:r>
      <w:r w:rsidRPr="00320D82">
        <w:rPr>
          <w:rFonts w:ascii="Arial" w:hAnsi="Arial" w:cs="Arial"/>
          <w:sz w:val="24"/>
          <w:szCs w:val="24"/>
        </w:rPr>
        <w:t xml:space="preserve"> para os clientes, e nomes fictícios ao estilo "grande player global de resinas" para os fornecedores</w:t>
      </w:r>
      <w:r w:rsidR="00CD23D1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em vez de empresas reais e identificáveis. Este conjunto de dados gera, por design, reclamações e taxas de rejeição fabricadas</w:t>
      </w:r>
      <w:r w:rsidR="00EE7BB4">
        <w:rPr>
          <w:rFonts w:ascii="Arial" w:hAnsi="Arial" w:cs="Arial"/>
          <w:sz w:val="24"/>
          <w:szCs w:val="24"/>
        </w:rPr>
        <w:t>.</w:t>
      </w:r>
    </w:p>
    <w:p w14:paraId="1B3EA115" w14:textId="4CD89045" w:rsidR="004076B3" w:rsidRPr="00D96C3F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6" w:name="_Toc234732880"/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>7.</w:t>
      </w:r>
      <w:r w:rsidR="00D96C3F" w:rsidRPr="00D96C3F">
        <w:rPr>
          <w:rFonts w:ascii="Arial" w:hAnsi="Arial" w:cs="Arial"/>
          <w:color w:val="7F7F7F" w:themeColor="text1" w:themeTint="80"/>
          <w:sz w:val="24"/>
          <w:szCs w:val="24"/>
        </w:rPr>
        <w:t>2</w:t>
      </w:r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 xml:space="preserve"> Indicadores — Reclamações de Clientes</w:t>
      </w:r>
      <w:bookmarkEnd w:id="26"/>
    </w:p>
    <w:p w14:paraId="1B3EA116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Número de reclamações, reclamações por cliente, por produto, por família de produto, por tipo de defeito, tendência mensal, e Reclamações por Milhão de Unidades Expedidas (CPMU) — tanto para a fábrica toda como por cliente, através da função etl_lib.complaints_per_million_shipped. Os tipos de defeito incluem: tampa quebrada, frasco a verter, cor incorreta, peso fora de especificação, atraso na entrega, torque excessivo, e o defeito de "cap back-off</w:t>
      </w:r>
      <w:r w:rsidRPr="00320D82">
        <w:rPr>
          <w:rFonts w:ascii="Arial" w:hAnsi="Arial" w:cs="Arial"/>
          <w:sz w:val="24"/>
          <w:szCs w:val="24"/>
        </w:rPr>
        <w:t>" — quando a tampa, ao ser fechada, volta a abrir sozinha por falha de retenção de torque — além de rótulo em falta, impressão manchada, contaminação, produto errado e falta de quantidade.</w:t>
      </w:r>
    </w:p>
    <w:p w14:paraId="1B3EA117" w14:textId="490CFE80" w:rsidR="004076B3" w:rsidRPr="00D96C3F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7" w:name="_Toc234732881"/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>7.</w:t>
      </w:r>
      <w:r w:rsidR="00D96C3F" w:rsidRPr="00D96C3F">
        <w:rPr>
          <w:rFonts w:ascii="Arial" w:hAnsi="Arial" w:cs="Arial"/>
          <w:color w:val="7F7F7F" w:themeColor="text1" w:themeTint="80"/>
          <w:sz w:val="24"/>
          <w:szCs w:val="24"/>
        </w:rPr>
        <w:t>3</w:t>
      </w:r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 xml:space="preserve"> Indicadores — Qualidade de Fornecedores</w:t>
      </w:r>
      <w:bookmarkEnd w:id="27"/>
    </w:p>
    <w:p w14:paraId="1B3EA118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Reclamações ao fornecedor (por tipo de problema), matéria-prima rejeitada (taxa, por tipo de material), índice de aprovação do fornecedor (etl_lib.supplier_approval_rate), e tempo médio de resposta do fornecedor a uma reclamação registada.</w:t>
      </w:r>
    </w:p>
    <w:p w14:paraId="1B3EA119" w14:textId="2B30620C" w:rsidR="004076B3" w:rsidRPr="00D96C3F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28" w:name="_Toc234732882"/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>7.</w:t>
      </w:r>
      <w:r w:rsidR="00D96C3F" w:rsidRPr="00D96C3F">
        <w:rPr>
          <w:rFonts w:ascii="Arial" w:hAnsi="Arial" w:cs="Arial"/>
          <w:color w:val="7F7F7F" w:themeColor="text1" w:themeTint="80"/>
          <w:sz w:val="24"/>
          <w:szCs w:val="24"/>
        </w:rPr>
        <w:t>4</w:t>
      </w:r>
      <w:r w:rsidRPr="00D96C3F">
        <w:rPr>
          <w:rFonts w:ascii="Arial" w:hAnsi="Arial" w:cs="Arial"/>
          <w:color w:val="7F7F7F" w:themeColor="text1" w:themeTint="80"/>
          <w:sz w:val="24"/>
          <w:szCs w:val="24"/>
        </w:rPr>
        <w:t xml:space="preserve"> Indicadores — Não Conformidades e CAPA</w:t>
      </w:r>
      <w:bookmarkEnd w:id="28"/>
    </w:p>
    <w:p w14:paraId="1B3EA11B" w14:textId="03806896" w:rsidR="004076B3" w:rsidRPr="00320D82" w:rsidRDefault="004D787F" w:rsidP="00A704B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NC Internas vs. Externas, NC por processo, NC por área, CAPAs abertas/fechadas/vencidas, e tempo médio de encerramento de CAPA (por severidade). As NC Externas nascem de reclamações de clientes ou de fornecedores; as NC Internas nascem de auditorias internas e desvios em processo. As CAPAs</w:t>
      </w:r>
      <w:r w:rsidRPr="00320D82">
        <w:rPr>
          <w:rFonts w:ascii="Arial" w:hAnsi="Arial" w:cs="Arial"/>
          <w:sz w:val="24"/>
          <w:szCs w:val="24"/>
        </w:rPr>
        <w:t xml:space="preserve"> abrem-se automaticamente para NC Críticas/Maiores (e uma amostra de Menores), com prazo-alvo de encerramento que depende da severidade — uma CAPA sem data de encerramento cujo prazo já passou fica marcada como Vencida.</w:t>
      </w:r>
    </w:p>
    <w:p w14:paraId="1B3EA11C" w14:textId="77777777" w:rsidR="004076B3" w:rsidRPr="00D96C3F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  <w:lang w:val="en-US"/>
        </w:rPr>
      </w:pPr>
      <w:bookmarkStart w:id="29" w:name="_Toc234732883"/>
      <w:r w:rsidRPr="00D96C3F">
        <w:rPr>
          <w:rFonts w:ascii="Arial" w:hAnsi="Arial" w:cs="Arial"/>
          <w:color w:val="7F7F7F" w:themeColor="text1" w:themeTint="80"/>
          <w:sz w:val="24"/>
          <w:szCs w:val="24"/>
          <w:lang w:val="en-US"/>
        </w:rPr>
        <w:t>8. Etapa 6 — Machine Learning</w:t>
      </w:r>
      <w:bookmarkEnd w:id="29"/>
    </w:p>
    <w:p w14:paraId="0C22C8C3" w14:textId="61EA7946" w:rsidR="00A704BF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Notebook:</w:t>
      </w:r>
      <w:r w:rsidR="00A704B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 </w:t>
      </w: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09_ml_production_forecast.ipynb, </w:t>
      </w:r>
    </w:p>
    <w:p w14:paraId="1F47399E" w14:textId="3985ED39" w:rsidR="00A704BF" w:rsidRPr="00320D82" w:rsidRDefault="00A704B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10_ml_scrap_prediction.ipynb, </w:t>
      </w:r>
    </w:p>
    <w:p w14:paraId="0B0D2860" w14:textId="23421755" w:rsidR="00A704BF" w:rsidRPr="00320D82" w:rsidRDefault="00A704B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Notebook: </w:t>
      </w:r>
      <w:r w:rsidR="004D787F"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11_ml_lot_quality_classification.ipynb, </w:t>
      </w:r>
    </w:p>
    <w:p w14:paraId="1B3EA11D" w14:textId="71CEBD53" w:rsidR="004076B3" w:rsidRPr="00183D0A" w:rsidRDefault="00A704B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183D0A">
        <w:rPr>
          <w:rFonts w:ascii="Arial" w:hAnsi="Arial" w:cs="Arial"/>
          <w:b/>
          <w:bCs/>
          <w:color w:val="EE0000"/>
          <w:sz w:val="24"/>
          <w:szCs w:val="24"/>
        </w:rPr>
        <w:t xml:space="preserve">Notebook: </w:t>
      </w:r>
      <w:r w:rsidR="004D787F" w:rsidRPr="00183D0A">
        <w:rPr>
          <w:rFonts w:ascii="Arial" w:hAnsi="Arial" w:cs="Arial"/>
          <w:b/>
          <w:bCs/>
          <w:color w:val="EE0000"/>
          <w:sz w:val="24"/>
          <w:szCs w:val="24"/>
        </w:rPr>
        <w:t>12_ml_predictive_maintenance.ipynb</w:t>
      </w:r>
    </w:p>
    <w:p w14:paraId="1B3EA11E" w14:textId="5447817B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 xml:space="preserve">Quatro modelos, escolhidos porque cada um resolve um problema real e nomeado da fábrica — Machine Learning não entra neste projeto para "enfeitar". A lógica partilhada (divisão treino/teste temporal, métricas de avaliação, gravação de modelos) </w:t>
      </w:r>
      <w:r w:rsidR="00E00E2C">
        <w:rPr>
          <w:rFonts w:ascii="Arial" w:hAnsi="Arial" w:cs="Arial"/>
          <w:sz w:val="24"/>
          <w:szCs w:val="24"/>
        </w:rPr>
        <w:t>está</w:t>
      </w:r>
      <w:r w:rsidRPr="00320D82">
        <w:rPr>
          <w:rFonts w:ascii="Arial" w:hAnsi="Arial" w:cs="Arial"/>
          <w:sz w:val="24"/>
          <w:szCs w:val="24"/>
        </w:rPr>
        <w:t xml:space="preserve"> em scripts/machine_learning/ml_lib.py, seguindo exatamente o mesmo padrão do etl_lib.py.</w:t>
      </w:r>
    </w:p>
    <w:p w14:paraId="1B3EA11F" w14:textId="77777777" w:rsidR="004076B3" w:rsidRPr="00BF75C0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0" w:name="_Toc234732884"/>
      <w:r w:rsidRPr="00BF75C0">
        <w:rPr>
          <w:rFonts w:ascii="Arial" w:hAnsi="Arial" w:cs="Arial"/>
          <w:color w:val="7F7F7F" w:themeColor="text1" w:themeTint="80"/>
          <w:sz w:val="24"/>
          <w:szCs w:val="24"/>
        </w:rPr>
        <w:t>8.1 Porque divisão temporal, nunca aleatória</w:t>
      </w:r>
      <w:bookmarkEnd w:id="30"/>
    </w:p>
    <w:p w14:paraId="1B3EA120" w14:textId="6F3DF8BF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Todos os quatro modelos usam ml_lib.time_based_split</w:t>
      </w:r>
      <w:r w:rsidRPr="00320D82">
        <w:rPr>
          <w:rFonts w:ascii="Arial" w:hAnsi="Arial" w:cs="Arial"/>
          <w:sz w:val="24"/>
          <w:szCs w:val="24"/>
        </w:rPr>
        <w:t>: as linhas mais antigas treinam o modelo, as mais recentes testam-no. Numa fábrica, os dados têm ordem no tempo</w:t>
      </w:r>
      <w:r w:rsidR="00E00E2C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uma divisão aleatória deixaria informação do futuro "vazar" para o treino (por exemplo, uma avaria de terça-feira ajudaria a "prever" uma avaria da sexta-feira anterior, se as linhas fossem baralhadas), o que faria o modelo parecer muito mais preciso do que seria na prática, quando implantado a prever para a frente no tempo.</w:t>
      </w:r>
    </w:p>
    <w:p w14:paraId="1B3EA121" w14:textId="77777777" w:rsidR="004076B3" w:rsidRPr="00BF75C0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1" w:name="_Toc234732885"/>
      <w:r w:rsidRPr="00BF75C0">
        <w:rPr>
          <w:rFonts w:ascii="Arial" w:hAnsi="Arial" w:cs="Arial"/>
          <w:color w:val="7F7F7F" w:themeColor="text1" w:themeTint="80"/>
          <w:sz w:val="24"/>
          <w:szCs w:val="24"/>
        </w:rPr>
        <w:t>8.2 Previsão de Produção Semanal</w:t>
      </w:r>
      <w:bookmarkEnd w:id="31"/>
    </w:p>
    <w:p w14:paraId="1B3EA122" w14:textId="77777777" w:rsidR="004076B3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Notebook: 09_ml_production_</w:t>
      </w: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forecast.ipynb</w:t>
      </w:r>
    </w:p>
    <w:p w14:paraId="1B3EA123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Pergunta da fábrica: quantas unidades vamos produzir na próxima semana, por processo? Modelos comparados: Regressão Linear, Random Forest, e XGBoost. Resultado: quase perfeito neste conjunto de dados — o notebook explica honestamente porquê (não existe volatilidade real de procura nem sazonalidade multi-anual em apenas um ano de dados simulados) em vez de apresentar o número sem contexto.</w:t>
      </w:r>
    </w:p>
    <w:p w14:paraId="1B3EA124" w14:textId="77777777" w:rsidR="004076B3" w:rsidRPr="002E0DA6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2" w:name="_Toc234732886"/>
      <w:r w:rsidRPr="002E0DA6">
        <w:rPr>
          <w:rFonts w:ascii="Arial" w:hAnsi="Arial" w:cs="Arial"/>
          <w:color w:val="7F7F7F" w:themeColor="text1" w:themeTint="80"/>
          <w:sz w:val="24"/>
          <w:szCs w:val="24"/>
        </w:rPr>
        <w:t>8.3 Previsão da Taxa de Scrap</w:t>
      </w:r>
      <w:bookmarkEnd w:id="32"/>
    </w:p>
    <w:p w14:paraId="1B3EA125" w14:textId="77777777" w:rsidR="004076B3" w:rsidRPr="00320D82" w:rsidRDefault="004D787F">
      <w:pPr>
        <w:spacing w:after="160"/>
        <w:jc w:val="both"/>
        <w:rPr>
          <w:rFonts w:ascii="Arial" w:hAnsi="Arial" w:cs="Arial"/>
          <w:color w:val="EE0000"/>
          <w:sz w:val="24"/>
          <w:szCs w:val="24"/>
        </w:rPr>
      </w:pPr>
      <w:r w:rsidRPr="00320D82">
        <w:rPr>
          <w:rFonts w:ascii="Arial" w:hAnsi="Arial" w:cs="Arial"/>
          <w:color w:val="EE0000"/>
          <w:sz w:val="24"/>
          <w:szCs w:val="24"/>
        </w:rPr>
        <w:t>Notebook: 10_ml_scrap_prediction.ipynb</w:t>
      </w:r>
    </w:p>
    <w:p w14:paraId="1B3EA126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Pergunta da fábrica: dada a máquina/molde/operador/turno que vai correr, quanto scrap é esperado, e o que o determina? A importância das variáveis (feature importance) é a entrega real deste modelo — transforma "o scrap está alto" em "o scrap está alto especificamente nestas combinações de máquina/molde", o que uma equipa de melhoria contínua consegue realmente usar. Resultado: R² ≈ 0,83 face a um R² ≈ 0,00 de um baseline ingénuo — um sinal real e útil. Colunas como Quality são deliberadamente excluídas por</w:t>
      </w:r>
      <w:r w:rsidRPr="00320D82">
        <w:rPr>
          <w:rFonts w:ascii="Arial" w:hAnsi="Arial" w:cs="Arial"/>
          <w:sz w:val="24"/>
          <w:szCs w:val="24"/>
        </w:rPr>
        <w:t xml:space="preserve"> vazarem a resposta (Quality deriva algebricamente das mesmas quantidades produzida/rejeitada que o modelo tenta prever).</w:t>
      </w:r>
    </w:p>
    <w:p w14:paraId="1B3EA127" w14:textId="77777777" w:rsidR="004076B3" w:rsidRPr="002E0DA6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3" w:name="_Toc234732887"/>
      <w:r w:rsidRPr="002E0DA6">
        <w:rPr>
          <w:rFonts w:ascii="Arial" w:hAnsi="Arial" w:cs="Arial"/>
          <w:color w:val="7F7F7F" w:themeColor="text1" w:themeTint="80"/>
          <w:sz w:val="24"/>
          <w:szCs w:val="24"/>
        </w:rPr>
        <w:t>8.4 Classificação de Aprovação/Reprovação de Lote</w:t>
      </w:r>
      <w:bookmarkEnd w:id="33"/>
    </w:p>
    <w:p w14:paraId="1B3EA128" w14:textId="77777777" w:rsidR="004076B3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Notebook: 11_ml_lot_quality_classification.ipynb</w:t>
      </w:r>
    </w:p>
    <w:p w14:paraId="1B3EA129" w14:textId="6B5E627B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Pergunta da fábrica: este lote vai passar a disposição final, ou precisa de escrutínio extra antes de expedir? Modelos comparados: Regressão Logística, Árvore de Decisão (a versão explicável — dá para mostrar a árvore a um gestor de qualidade), Random Forest, e XGBoost</w:t>
      </w:r>
      <w:r w:rsidRPr="00320D82">
        <w:rPr>
          <w:rFonts w:ascii="Arial" w:hAnsi="Arial" w:cs="Arial"/>
          <w:sz w:val="24"/>
          <w:szCs w:val="24"/>
        </w:rPr>
        <w:t xml:space="preserve">. Resultado: ROC-AUC ≈ 0,63 — modesto, e reportado com honestidade, com o motivo explicado: neste conjunto de dados, a decisão de disposição AQL é determinada substancialmente por variação aleatória da amostragem, não por um vínculo forte e determinístico com as condições de produção. </w:t>
      </w:r>
    </w:p>
    <w:p w14:paraId="1B3EA12A" w14:textId="77777777" w:rsidR="004076B3" w:rsidRPr="0041622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4" w:name="_Toc234732888"/>
      <w:r w:rsidRPr="0041622B">
        <w:rPr>
          <w:rFonts w:ascii="Arial" w:hAnsi="Arial" w:cs="Arial"/>
          <w:color w:val="7F7F7F" w:themeColor="text1" w:themeTint="80"/>
          <w:sz w:val="24"/>
          <w:szCs w:val="24"/>
        </w:rPr>
        <w:t>8.5 Manutenção Preditiva</w:t>
      </w:r>
      <w:bookmarkEnd w:id="34"/>
    </w:p>
    <w:p w14:paraId="1B3EA12B" w14:textId="77777777" w:rsidR="004076B3" w:rsidRPr="00320D82" w:rsidRDefault="004D787F">
      <w:pPr>
        <w:spacing w:after="1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Notebook: 12_ml_predictive_maintenance.ipynb</w:t>
      </w:r>
    </w:p>
    <w:p w14:paraId="1B3EA12C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Pergunta da fábrica: que máquina tem maior probabilidade de sofrer uma avaria não planeada amanhã? O clássico da Indústria 4.0, e o mais diretamente acionável dos quatro modelos. Duas decisões de desenho importam mais do que o algoritmo escolhido: granularidade diária (não semanal — a uma granularidade semanal, quase todas as semanas têm pelo menos uma avaria em cada uma das 18 máquinas, tornando "have haverá avaria" um alvo quase sempre "sim" e inútil; à granularidade diária obtém-se uma divisão real de ~6</w:t>
      </w:r>
      <w:r w:rsidRPr="00320D82">
        <w:rPr>
          <w:rFonts w:ascii="Arial" w:hAnsi="Arial" w:cs="Arial"/>
          <w:sz w:val="24"/>
          <w:szCs w:val="24"/>
        </w:rPr>
        <w:t>1%/39%), e nenhuma fuga de informação do futuro (todas as variáveis vêm do dia t ou antes; o alvo é o dia t+1). Resultado: ROC-AUC ≈ 0,72, F1 ≈ 0,78 na classe "avaria" — o classificador mais forte dos quatro, dominado pelas variáveis de frequência de avarias recentes (exatamente a intuição por trás do MTBF, aqui aplicada à resolução diária).</w:t>
      </w:r>
    </w:p>
    <w:p w14:paraId="1B3EA12D" w14:textId="77777777" w:rsidR="004076B3" w:rsidRPr="00CF43EB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5" w:name="_Toc234732889"/>
      <w:r w:rsidRPr="00CF43EB">
        <w:rPr>
          <w:rFonts w:ascii="Arial" w:hAnsi="Arial" w:cs="Arial"/>
          <w:color w:val="7F7F7F" w:themeColor="text1" w:themeTint="80"/>
          <w:sz w:val="24"/>
          <w:szCs w:val="24"/>
        </w:rPr>
        <w:t>8.6 Metodologia partilhada por todos os modelos</w:t>
      </w:r>
      <w:bookmarkEnd w:id="35"/>
    </w:p>
    <w:p w14:paraId="1B3EA12E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Disciplina contra fuga de dados (leakage): qualquer coluna que seja definicionalmente</w:t>
      </w:r>
      <w:r w:rsidRPr="00320D82">
        <w:rPr>
          <w:rFonts w:ascii="Arial" w:hAnsi="Arial" w:cs="Arial"/>
          <w:sz w:val="24"/>
          <w:szCs w:val="24"/>
        </w:rPr>
        <w:t xml:space="preserve"> posterior ao alvo, ou derivada aritmeticamente dele, é excluída do conjunto de variáveis.</w:t>
      </w:r>
    </w:p>
    <w:p w14:paraId="1B3EA12F" w14:textId="77777777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Métricas adequadas ao desequilíbrio de classes: precisão, recall, F1 e ROC-AUC em vez de apenas exatidão (accuracy), já que todos os alvos de classificação neste projeto são raros (rejeições de lote, reclamações, avarias diárias — todos bem abaixo de 50%).</w:t>
      </w:r>
    </w:p>
    <w:p w14:paraId="1B3EA131" w14:textId="106D5192" w:rsidR="004076B3" w:rsidRPr="00F17C3C" w:rsidRDefault="004D787F" w:rsidP="00F17C3C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F17C3C">
        <w:rPr>
          <w:rFonts w:ascii="Arial" w:hAnsi="Arial" w:cs="Arial"/>
          <w:sz w:val="24"/>
          <w:szCs w:val="24"/>
        </w:rPr>
        <w:t xml:space="preserve">Cada modelo treinado é gravado em models/*.pkl (via joblib), junto com a lista de variáveis e as métricas de teste, e cada notebook exporta as suas previsões para </w:t>
      </w:r>
      <w:r w:rsidRPr="00F17C3C">
        <w:rPr>
          <w:rFonts w:ascii="Arial" w:hAnsi="Arial" w:cs="Arial"/>
          <w:sz w:val="24"/>
          <w:szCs w:val="24"/>
        </w:rPr>
        <w:t>datasets/processed/ml_predictions_*.csv, para a camada MySQL/Power BI.</w:t>
      </w:r>
    </w:p>
    <w:p w14:paraId="1B3EA132" w14:textId="77777777" w:rsidR="004076B3" w:rsidRPr="00CF43EB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6" w:name="_Toc234732890"/>
      <w:r w:rsidRPr="00CF43EB">
        <w:rPr>
          <w:rFonts w:ascii="Arial" w:hAnsi="Arial" w:cs="Arial"/>
          <w:color w:val="7F7F7F" w:themeColor="text1" w:themeTint="80"/>
          <w:sz w:val="24"/>
          <w:szCs w:val="24"/>
        </w:rPr>
        <w:t>9</w:t>
      </w:r>
      <w:r w:rsidRPr="00CF43EB">
        <w:rPr>
          <w:rFonts w:ascii="Arial" w:hAnsi="Arial" w:cs="Arial"/>
          <w:color w:val="7F7F7F" w:themeColor="text1" w:themeTint="80"/>
          <w:sz w:val="24"/>
          <w:szCs w:val="24"/>
        </w:rPr>
        <w:t>. Etapa 7 — Síntese Final</w:t>
      </w:r>
      <w:bookmarkEnd w:id="36"/>
    </w:p>
    <w:p w14:paraId="1B3EA138" w14:textId="5C97CEBB" w:rsidR="004076B3" w:rsidRPr="00320D82" w:rsidRDefault="004D787F" w:rsidP="00655898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b/>
          <w:bCs/>
          <w:color w:val="EE0000"/>
          <w:sz w:val="24"/>
          <w:szCs w:val="24"/>
        </w:rPr>
        <w:t>Notebook: 13_deep_dive_analysis.ipynb</w:t>
      </w:r>
      <w:r w:rsidRPr="00320D82">
        <w:rPr>
          <w:rFonts w:ascii="Arial" w:hAnsi="Arial" w:cs="Arial"/>
          <w:color w:val="EE0000"/>
          <w:sz w:val="24"/>
          <w:szCs w:val="24"/>
        </w:rPr>
        <w:t xml:space="preserve"> </w:t>
      </w:r>
      <w:r w:rsidRPr="00320D82">
        <w:rPr>
          <w:rFonts w:ascii="Arial" w:hAnsi="Arial" w:cs="Arial"/>
          <w:sz w:val="24"/>
          <w:szCs w:val="24"/>
        </w:rPr>
        <w:t>— corre por último, de propósito: é o único notebook que junta as Etapas 4, 5 e 6 para responder à pergunta central do projeto e às sete perguntas auxiliares.</w:t>
      </w:r>
    </w:p>
    <w:p w14:paraId="1B3EA139" w14:textId="0701A974" w:rsidR="004076B3" w:rsidRPr="00AE195D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7" w:name="_Toc234732891"/>
      <w:r w:rsidRPr="00AE195D">
        <w:rPr>
          <w:rFonts w:ascii="Arial" w:hAnsi="Arial" w:cs="Arial"/>
          <w:color w:val="7F7F7F" w:themeColor="text1" w:themeTint="80"/>
          <w:sz w:val="24"/>
          <w:szCs w:val="24"/>
        </w:rPr>
        <w:t>9.</w:t>
      </w:r>
      <w:r w:rsidR="00655898" w:rsidRPr="00AE195D">
        <w:rPr>
          <w:rFonts w:ascii="Arial" w:hAnsi="Arial" w:cs="Arial"/>
          <w:color w:val="7F7F7F" w:themeColor="text1" w:themeTint="80"/>
          <w:sz w:val="24"/>
          <w:szCs w:val="24"/>
        </w:rPr>
        <w:t>1</w:t>
      </w:r>
      <w:r w:rsidRPr="00AE195D">
        <w:rPr>
          <w:rFonts w:ascii="Arial" w:hAnsi="Arial" w:cs="Arial"/>
          <w:color w:val="7F7F7F" w:themeColor="text1" w:themeTint="80"/>
          <w:sz w:val="24"/>
          <w:szCs w:val="24"/>
        </w:rPr>
        <w:t xml:space="preserve"> Principais conclusões</w:t>
      </w:r>
      <w:bookmarkEnd w:id="37"/>
    </w:p>
    <w:p w14:paraId="1B3EA13A" w14:textId="1272D665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 perda de produção continua dominada por eventos de manutenção (paragens não planeadas, trocas de ferramenta)</w:t>
      </w:r>
      <w:r w:rsidR="00110EB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não pela velocidade do processo nem pela qualidade.</w:t>
      </w:r>
    </w:p>
    <w:p w14:paraId="1B3EA13B" w14:textId="6A7CEC73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Os sinais de produção transportam um sinal real, ainda que modesto, de aviso prévio para resultados de cliente</w:t>
      </w:r>
      <w:r w:rsidR="00110EB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não só para resultados internos do SGQ</w:t>
      </w:r>
      <w:r w:rsidR="00110EB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e a força honesta desse sinal, quantificada com dados reais de reclamação, é um resultado mais credível do que uma afirmação mais forte mas nunca testada.</w:t>
      </w:r>
    </w:p>
    <w:p w14:paraId="1B3EA13C" w14:textId="0E52C372" w:rsidR="004076B3" w:rsidRPr="00320D82" w:rsidRDefault="004D787F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A fábrica tem a capacidade de processo e de máquina necessárias para cumprir os seus objetivos de qualidade</w:t>
      </w:r>
      <w:r w:rsidR="00110EBA">
        <w:rPr>
          <w:rFonts w:ascii="Arial" w:hAnsi="Arial" w:cs="Arial"/>
          <w:sz w:val="24"/>
          <w:szCs w:val="24"/>
        </w:rPr>
        <w:t>, a</w:t>
      </w:r>
      <w:r w:rsidRPr="00320D82">
        <w:rPr>
          <w:rFonts w:ascii="Arial" w:hAnsi="Arial" w:cs="Arial"/>
          <w:sz w:val="24"/>
          <w:szCs w:val="24"/>
        </w:rPr>
        <w:t xml:space="preserve"> restrição é operacional (paragens não planeadas), não estrutural.</w:t>
      </w:r>
    </w:p>
    <w:p w14:paraId="1B3EA13F" w14:textId="3C543BCE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8" w:name="_Toc234732892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9.</w:t>
      </w:r>
      <w:r w:rsidR="00655898" w:rsidRPr="00110EBA">
        <w:rPr>
          <w:rFonts w:ascii="Arial" w:hAnsi="Arial" w:cs="Arial"/>
          <w:color w:val="7F7F7F" w:themeColor="text1" w:themeTint="80"/>
          <w:sz w:val="24"/>
          <w:szCs w:val="24"/>
        </w:rPr>
        <w:t>2</w:t>
      </w:r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 xml:space="preserve"> Resposta à pergunta central</w:t>
      </w:r>
      <w:bookmarkEnd w:id="38"/>
    </w:p>
    <w:p w14:paraId="1B3EA141" w14:textId="79B63357" w:rsidR="004076B3" w:rsidRPr="00320D82" w:rsidRDefault="004D787F" w:rsidP="00F17C3C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Sim</w:t>
      </w:r>
      <w:r w:rsidR="00110EB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e especificamente porque os domínios não são independentes. Monitorizar produção, qualidade, manutenção, e resultados de cliente/fornecedor em conjunto</w:t>
      </w:r>
      <w:r w:rsidR="00110EBA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 xml:space="preserve">emparelhado com um pequeno conjunto de modelos preditivos bem avaliados </w:t>
      </w:r>
      <w:r w:rsidR="00110EBA">
        <w:rPr>
          <w:rFonts w:ascii="Arial" w:hAnsi="Arial" w:cs="Arial"/>
          <w:sz w:val="24"/>
          <w:szCs w:val="24"/>
        </w:rPr>
        <w:t xml:space="preserve">e </w:t>
      </w:r>
      <w:r w:rsidRPr="00320D82">
        <w:rPr>
          <w:rFonts w:ascii="Arial" w:hAnsi="Arial" w:cs="Arial"/>
          <w:sz w:val="24"/>
          <w:szCs w:val="24"/>
        </w:rPr>
        <w:t>revela tanto as causas-raiz que um dashboard isolado deixaria escapar, como uma visão prospetiva que uma abordagem puramente histórica não consegue oferecer. Este é o argumento central que todo este projeto foi construído para demonstrar.</w:t>
      </w:r>
    </w:p>
    <w:p w14:paraId="1B3EA142" w14:textId="77777777" w:rsidR="004076B3" w:rsidRPr="00110EBA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39" w:name="_Toc234732893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 Glossário de Conceitos de Negócio</w:t>
      </w:r>
      <w:bookmarkEnd w:id="39"/>
    </w:p>
    <w:p w14:paraId="1B3EA144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0" w:name="_Toc234732894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10.1 Lean Manufacturing</w:t>
      </w:r>
      <w:bookmarkEnd w:id="40"/>
    </w:p>
    <w:p w14:paraId="1B3EA145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Filosofia de gestão focada em eliminar desperdício ("muda") e maximizar valor para o cliente com o mínimo de recursos. O OEE e a análise de "seis grandes perdas" (avarias, setup/troca, pequenas paragens, velocidade reduzida, rejeitos no arranque, rejeitos em produção) usados neste projeto são ferramentas centrais do Lean.</w:t>
      </w:r>
    </w:p>
    <w:p w14:paraId="1B3EA146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1" w:name="_Toc234732895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10.2 Six Sigma</w:t>
      </w:r>
      <w:bookmarkEnd w:id="41"/>
    </w:p>
    <w:p w14:paraId="1B3EA147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Metodologia orientada a dados para reduzir variabilidade e defeitos, medindo o desempenho em "nível sigma" — quanto mais alto, menos defeitos por milhão de oportunidades (DPMO). Um processo 6-sigma tem cerca de 3,4 DPMO; a maioria das fábricas reais opera entre 3 e 4 sigma.</w:t>
      </w:r>
    </w:p>
    <w:p w14:paraId="1B3EA148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2" w:name="_Toc234732896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10.3 CEP / SPC (Controlo Estatístico do Processo)</w:t>
      </w:r>
      <w:bookmarkEnd w:id="42"/>
    </w:p>
    <w:p w14:paraId="1B3EA149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Conjunto de técnicas para monitorizar um processo ao longo do tempo através de amostragem, distinguindo variação natural ("causas comuns") de variação anormal ("causas especiais") que exige intervenção. As cartas X̄-R e os índices Cp/Cpk são as ferramentas centrais do CEP.</w:t>
      </w:r>
    </w:p>
    <w:p w14:paraId="1B3EA14A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3" w:name="_Toc234732897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10.4 ISO 9001</w:t>
      </w:r>
      <w:bookmarkEnd w:id="43"/>
    </w:p>
    <w:p w14:paraId="1B3EA14B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lastRenderedPageBreak/>
        <w:t>Norma internacional de sistemas de gestão da qualidade. Exige abordagem por processos, rastreabilidade, e melhoria contínua — o código LotId</w:t>
      </w:r>
      <w:r w:rsidRPr="00320D82">
        <w:rPr>
          <w:rFonts w:ascii="Arial" w:hAnsi="Arial" w:cs="Arial"/>
          <w:sz w:val="24"/>
          <w:szCs w:val="24"/>
        </w:rPr>
        <w:t xml:space="preserve"> implementado neste projeto é exatamente o tipo de mecanismo de rastreabilidade que a ISO 9001 exige: conseguir seguir qualquer produto entregue de volta até à sua origem exata de produção.</w:t>
      </w:r>
    </w:p>
    <w:p w14:paraId="1B3EA14C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4" w:name="_Toc234732898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10.5 ISO 2859-1</w:t>
      </w:r>
      <w:bookmarkEnd w:id="44"/>
    </w:p>
    <w:p w14:paraId="1B3EA14D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Norma internacional para planos de amostragem de aceitação por atributos, usando o conceito de AQL (Nível de Qualidade Aceitável). Define quantas peças amostrar de um lote, e quantos defeitos ainda tornam o lote aceitável, com base no tamanho do lote e no nível de inspeção desejado.</w:t>
      </w:r>
    </w:p>
    <w:p w14:paraId="1B3EA14E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5" w:name="_Toc234732899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 xml:space="preserve">10.6 OEE (Overall </w:t>
      </w:r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Equipment Effectiveness)</w:t>
      </w:r>
      <w:bookmarkEnd w:id="45"/>
    </w:p>
    <w:p w14:paraId="1B3EA14F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Indicador Lean que combina Disponibilidade, Performance e Qualidade num único número, medindo a eficácia real de um equipamento face ao seu potencial teórico máximo. Um OEE de 85% é geralmente considerado "classe mundial".</w:t>
      </w:r>
    </w:p>
    <w:p w14:paraId="1B3EA150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6" w:name="_Toc234732900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10.7 MTBF e MTTR</w:t>
      </w:r>
      <w:bookmarkEnd w:id="46"/>
    </w:p>
    <w:p w14:paraId="1B3EA151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Indicadores centrais de engenharia de fiabilidade (RCM — Reliability-Centered Maintenance). MTBF mede a fiabilidade (tempo médio entre avarias); MTTR mede a capacidade de resposta da manutenção (tempo médio até reparar).</w:t>
      </w:r>
    </w:p>
    <w:p w14:paraId="1B3EA152" w14:textId="77777777" w:rsidR="004076B3" w:rsidRPr="00110EBA" w:rsidRDefault="004D787F">
      <w:pPr>
        <w:pStyle w:val="Ttulo2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7" w:name="_Toc234732901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10.8 Machine Learning</w:t>
      </w:r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 xml:space="preserve"> aplicado à manufatura</w:t>
      </w:r>
      <w:bookmarkEnd w:id="47"/>
    </w:p>
    <w:p w14:paraId="1B3EA153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Validação temporal: nunca dividir dados de fábrica em treino/teste de forma aleatória — isso deixa informação do futuro vazar para o treino e faz o modelo parecer melhor do que seria se realmente implantado a prever para a frente no tempo. Disciplina contra fuga de dados (leakage): excluir qualquer variável que seja definicionalmente posterior ao alvo, ou derivada aritmeticamente dele. Desequilíbrio de classes: reportar precisão, recall</w:t>
      </w:r>
      <w:r w:rsidRPr="00320D82">
        <w:rPr>
          <w:rFonts w:ascii="Arial" w:hAnsi="Arial" w:cs="Arial"/>
          <w:sz w:val="24"/>
          <w:szCs w:val="24"/>
        </w:rPr>
        <w:t>, F1 e ROC-AUC em vez de apenas exatidão, sempre que o alvo é raro — um modelo que preveja sempre "sem problema" pareceria excelente em exatidão e seria inútil na prática.</w:t>
      </w:r>
    </w:p>
    <w:p w14:paraId="1B3EA154" w14:textId="77777777" w:rsidR="004076B3" w:rsidRPr="00110EBA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8" w:name="_Toc234732902"/>
      <w:r w:rsidRPr="00110EBA">
        <w:rPr>
          <w:rFonts w:ascii="Arial" w:hAnsi="Arial" w:cs="Arial"/>
          <w:color w:val="7F7F7F" w:themeColor="text1" w:themeTint="80"/>
          <w:sz w:val="24"/>
          <w:szCs w:val="24"/>
        </w:rPr>
        <w:t>11. Como correr o projeto</w:t>
      </w:r>
      <w:bookmarkEnd w:id="48"/>
    </w:p>
    <w:p w14:paraId="1B3EA155" w14:textId="77777777" w:rsidR="004076B3" w:rsidRPr="00110EBA" w:rsidRDefault="004D787F">
      <w:pPr>
        <w:spacing w:after="160"/>
        <w:jc w:val="both"/>
        <w:rPr>
          <w:rFonts w:ascii="Arial" w:hAnsi="Arial" w:cs="Arial"/>
          <w:color w:val="EE0000"/>
          <w:sz w:val="24"/>
          <w:szCs w:val="24"/>
        </w:rPr>
      </w:pPr>
      <w:r w:rsidRPr="00110EBA">
        <w:rPr>
          <w:rFonts w:ascii="Arial" w:hAnsi="Arial" w:cs="Arial"/>
          <w:color w:val="EE0000"/>
          <w:sz w:val="24"/>
          <w:szCs w:val="24"/>
        </w:rPr>
        <w:t>IMPORTANTE: corre os notebooks POR ESTA ORDEM — o notebook 13 (síntese final) lê ficheiros produzidos pelas Etapas 4, 5 e 6, por isso corre sempre por último.</w:t>
      </w:r>
    </w:p>
    <w:p w14:paraId="1B3EA156" w14:textId="77777777" w:rsidR="004076B3" w:rsidRPr="00320D82" w:rsidRDefault="004D787F">
      <w:pPr>
        <w:shd w:val="clear" w:color="auto" w:fill="F2F2F2"/>
        <w:spacing w:before="80" w:after="160"/>
        <w:ind w:left="200"/>
        <w:rPr>
          <w:rFonts w:ascii="Arial" w:hAnsi="Arial" w:cs="Arial"/>
          <w:sz w:val="24"/>
          <w:szCs w:val="24"/>
        </w:rPr>
      </w:pPr>
      <w:r w:rsidRPr="00320D82">
        <w:rPr>
          <w:rFonts w:ascii="Arial" w:eastAsia="Consolas" w:hAnsi="Arial" w:cs="Arial"/>
          <w:sz w:val="24"/>
          <w:szCs w:val="24"/>
        </w:rPr>
        <w:t>git clone &lt;este-repositório&gt; cd manufacturing-performance-analytics python -m venv .venv &amp;&amp; source .venv/bin/activate pip install</w:t>
      </w:r>
      <w:r w:rsidRPr="00320D82">
        <w:rPr>
          <w:rFonts w:ascii="Arial" w:eastAsia="Consolas" w:hAnsi="Arial" w:cs="Arial"/>
          <w:sz w:val="24"/>
          <w:szCs w:val="24"/>
        </w:rPr>
        <w:t xml:space="preserve"> -r requirements.txt  #   scripts/notebook/01_import_and_inspect.ipynb #   scripts/notebook/02_data_cleaning_production.ipynb #   scripts/notebook/03_data_cleaning_quality.ipynb #   scripts/notebook/04_mysql_load_and_views.ipynb          (precisa de um servidor MySQL) #   scripts/notebook/05_initial_analysis.ipynb #   scripts/notebook/06_kpi_scorecard.ipynb #   scripts/notebook/07_data_cleaning_qa.ipynb #   scripts/notebook/08_quality_assurance_dashboard.ipynb #   scripts/notebook</w:t>
      </w:r>
      <w:r w:rsidRPr="00320D82">
        <w:rPr>
          <w:rFonts w:ascii="Arial" w:eastAsia="Consolas" w:hAnsi="Arial" w:cs="Arial"/>
          <w:sz w:val="24"/>
          <w:szCs w:val="24"/>
        </w:rPr>
        <w:t>/09_ml_production_forecast.ipynb #   scripts/notebook/10_ml_scrap_prediction.ipynb #   scripts/notebook/11_ml_lot_quality_classification.ipynb #   scripts/notebook/12_ml_predictive_maintenance.ipynb #   scripts/notebook/13_deep_dive_analysis.ipynb              (síntese final — corre por último)</w:t>
      </w:r>
    </w:p>
    <w:p w14:paraId="1B3EA157" w14:textId="77777777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Para a Etapa 3 (MySQL), configura as credenciais como variáveis de ambiente antes de correr o notebook 04 — nunca escrevas passwords diretamente no código:</w:t>
      </w:r>
    </w:p>
    <w:p w14:paraId="1B3EA158" w14:textId="77777777" w:rsidR="004076B3" w:rsidRPr="00320D82" w:rsidRDefault="004D787F">
      <w:pPr>
        <w:shd w:val="clear" w:color="auto" w:fill="F2F2F2"/>
        <w:spacing w:before="80" w:after="160"/>
        <w:ind w:left="200"/>
        <w:rPr>
          <w:rFonts w:ascii="Arial" w:hAnsi="Arial" w:cs="Arial"/>
          <w:sz w:val="24"/>
          <w:szCs w:val="24"/>
          <w:lang w:val="en-US"/>
        </w:rPr>
      </w:pPr>
      <w:r w:rsidRPr="00320D82">
        <w:rPr>
          <w:rFonts w:ascii="Arial" w:eastAsia="Consolas" w:hAnsi="Arial" w:cs="Arial"/>
          <w:sz w:val="24"/>
          <w:szCs w:val="24"/>
          <w:lang w:val="en-US"/>
        </w:rPr>
        <w:lastRenderedPageBreak/>
        <w:t>export MYSQL_HOST=localhost export MYSQL_PORT=3306 export MYSQL_USER=analytics export MYSQL_PASSWORD=a_tua_password export MYSQL_DB=manufacturing_performance_analytics</w:t>
      </w:r>
    </w:p>
    <w:p w14:paraId="1B3EA159" w14:textId="77777777" w:rsidR="004076B3" w:rsidRPr="00AE195D" w:rsidRDefault="004D787F">
      <w:pPr>
        <w:pStyle w:val="Ttulo1"/>
        <w:rPr>
          <w:rFonts w:ascii="Arial" w:hAnsi="Arial" w:cs="Arial"/>
          <w:color w:val="7F7F7F" w:themeColor="text1" w:themeTint="80"/>
          <w:sz w:val="24"/>
          <w:szCs w:val="24"/>
        </w:rPr>
      </w:pPr>
      <w:bookmarkStart w:id="49" w:name="_Toc234732903"/>
      <w:r w:rsidRPr="00AE195D">
        <w:rPr>
          <w:rFonts w:ascii="Arial" w:hAnsi="Arial" w:cs="Arial"/>
          <w:color w:val="7F7F7F" w:themeColor="text1" w:themeTint="80"/>
          <w:sz w:val="24"/>
          <w:szCs w:val="24"/>
        </w:rPr>
        <w:t>12. Conclusão</w:t>
      </w:r>
      <w:bookmarkEnd w:id="49"/>
    </w:p>
    <w:p w14:paraId="1B3EA15A" w14:textId="14F914DC" w:rsidR="004076B3" w:rsidRPr="00320D82" w:rsidRDefault="004D787F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320D82">
        <w:rPr>
          <w:rFonts w:ascii="Arial" w:hAnsi="Arial" w:cs="Arial"/>
          <w:sz w:val="24"/>
          <w:szCs w:val="24"/>
        </w:rPr>
        <w:t>Este projeto demonstra, de ponta a ponta, o ciclo completo de um projeto de Data Analytics + Machine Learning industrial: da identificação de problemas de qualidade de dados brutos, passando pela limpeza rigorosa e engenharia de indicadores de negócio fundamentados em normas reais (ISO 9001, ISO 2859-1) e metodologias reais (</w:t>
      </w:r>
      <w:r w:rsidRPr="00320D82">
        <w:rPr>
          <w:rFonts w:ascii="Arial" w:hAnsi="Arial" w:cs="Arial"/>
          <w:sz w:val="24"/>
          <w:szCs w:val="24"/>
        </w:rPr>
        <w:t>Lean, Six Sigma, CEP), pela extensão a clientes e fornecedores (Asseguração da Qualidade), até quatro modelos de Machine Learning que respondem a problemas reais e nomeados da fábrica</w:t>
      </w:r>
      <w:r w:rsidR="00655898" w:rsidRPr="00320D82">
        <w:rPr>
          <w:rFonts w:ascii="Arial" w:hAnsi="Arial" w:cs="Arial"/>
          <w:sz w:val="24"/>
          <w:szCs w:val="24"/>
        </w:rPr>
        <w:t xml:space="preserve">, </w:t>
      </w:r>
      <w:r w:rsidRPr="00320D82">
        <w:rPr>
          <w:rFonts w:ascii="Arial" w:hAnsi="Arial" w:cs="Arial"/>
          <w:sz w:val="24"/>
          <w:szCs w:val="24"/>
        </w:rPr>
        <w:t>e finalmente à resposta, com evidência, a uma pergunta de negócio genuína sobre se a monitorização integrada realmente ajuda a reduzir perdas.</w:t>
      </w:r>
    </w:p>
    <w:sectPr w:rsidR="004076B3" w:rsidRPr="00320D82" w:rsidSect="0031087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F6C5F"/>
    <w:multiLevelType w:val="hybridMultilevel"/>
    <w:tmpl w:val="6E4E2BC0"/>
    <w:lvl w:ilvl="0" w:tplc="BA5E58F2">
      <w:start w:val="1"/>
      <w:numFmt w:val="bullet"/>
      <w:lvlText w:val="•"/>
      <w:lvlJc w:val="left"/>
      <w:pPr>
        <w:ind w:left="504" w:hanging="288"/>
      </w:pPr>
    </w:lvl>
    <w:lvl w:ilvl="1" w:tplc="B05AFF2A">
      <w:numFmt w:val="decimal"/>
      <w:lvlText w:val=""/>
      <w:lvlJc w:val="left"/>
    </w:lvl>
    <w:lvl w:ilvl="2" w:tplc="7FE84C3E">
      <w:numFmt w:val="decimal"/>
      <w:lvlText w:val=""/>
      <w:lvlJc w:val="left"/>
    </w:lvl>
    <w:lvl w:ilvl="3" w:tplc="40C6377E">
      <w:numFmt w:val="decimal"/>
      <w:lvlText w:val=""/>
      <w:lvlJc w:val="left"/>
    </w:lvl>
    <w:lvl w:ilvl="4" w:tplc="3EF6EAEE">
      <w:numFmt w:val="decimal"/>
      <w:lvlText w:val=""/>
      <w:lvlJc w:val="left"/>
    </w:lvl>
    <w:lvl w:ilvl="5" w:tplc="4B2E97A8">
      <w:numFmt w:val="decimal"/>
      <w:lvlText w:val=""/>
      <w:lvlJc w:val="left"/>
    </w:lvl>
    <w:lvl w:ilvl="6" w:tplc="B492C584">
      <w:numFmt w:val="decimal"/>
      <w:lvlText w:val=""/>
      <w:lvlJc w:val="left"/>
    </w:lvl>
    <w:lvl w:ilvl="7" w:tplc="004480F0">
      <w:numFmt w:val="decimal"/>
      <w:lvlText w:val=""/>
      <w:lvlJc w:val="left"/>
    </w:lvl>
    <w:lvl w:ilvl="8" w:tplc="FA22B47E">
      <w:numFmt w:val="decimal"/>
      <w:lvlText w:val=""/>
      <w:lvlJc w:val="left"/>
    </w:lvl>
  </w:abstractNum>
  <w:abstractNum w:abstractNumId="1" w15:restartNumberingAfterBreak="0">
    <w:nsid w:val="4C9773DB"/>
    <w:multiLevelType w:val="hybridMultilevel"/>
    <w:tmpl w:val="E8908BC0"/>
    <w:lvl w:ilvl="0" w:tplc="B89EF822">
      <w:start w:val="1"/>
      <w:numFmt w:val="bullet"/>
      <w:lvlText w:val="●"/>
      <w:lvlJc w:val="left"/>
      <w:pPr>
        <w:ind w:left="720" w:hanging="360"/>
      </w:pPr>
    </w:lvl>
    <w:lvl w:ilvl="1" w:tplc="B574CD28">
      <w:start w:val="1"/>
      <w:numFmt w:val="bullet"/>
      <w:lvlText w:val="○"/>
      <w:lvlJc w:val="left"/>
      <w:pPr>
        <w:ind w:left="1440" w:hanging="360"/>
      </w:pPr>
    </w:lvl>
    <w:lvl w:ilvl="2" w:tplc="F9A6DCBE">
      <w:start w:val="1"/>
      <w:numFmt w:val="bullet"/>
      <w:lvlText w:val="■"/>
      <w:lvlJc w:val="left"/>
      <w:pPr>
        <w:ind w:left="2160" w:hanging="360"/>
      </w:pPr>
    </w:lvl>
    <w:lvl w:ilvl="3" w:tplc="F8FEDE0C">
      <w:start w:val="1"/>
      <w:numFmt w:val="bullet"/>
      <w:lvlText w:val="●"/>
      <w:lvlJc w:val="left"/>
      <w:pPr>
        <w:ind w:left="2880" w:hanging="360"/>
      </w:pPr>
    </w:lvl>
    <w:lvl w:ilvl="4" w:tplc="EE107816">
      <w:start w:val="1"/>
      <w:numFmt w:val="bullet"/>
      <w:lvlText w:val="○"/>
      <w:lvlJc w:val="left"/>
      <w:pPr>
        <w:ind w:left="3600" w:hanging="360"/>
      </w:pPr>
    </w:lvl>
    <w:lvl w:ilvl="5" w:tplc="8736AC78">
      <w:start w:val="1"/>
      <w:numFmt w:val="bullet"/>
      <w:lvlText w:val="■"/>
      <w:lvlJc w:val="left"/>
      <w:pPr>
        <w:ind w:left="4320" w:hanging="360"/>
      </w:pPr>
    </w:lvl>
    <w:lvl w:ilvl="6" w:tplc="E766CB94">
      <w:start w:val="1"/>
      <w:numFmt w:val="bullet"/>
      <w:lvlText w:val="●"/>
      <w:lvlJc w:val="left"/>
      <w:pPr>
        <w:ind w:left="5040" w:hanging="360"/>
      </w:pPr>
    </w:lvl>
    <w:lvl w:ilvl="7" w:tplc="6D44583A">
      <w:start w:val="1"/>
      <w:numFmt w:val="bullet"/>
      <w:lvlText w:val="●"/>
      <w:lvlJc w:val="left"/>
      <w:pPr>
        <w:ind w:left="5760" w:hanging="360"/>
      </w:pPr>
    </w:lvl>
    <w:lvl w:ilvl="8" w:tplc="0342399A">
      <w:start w:val="1"/>
      <w:numFmt w:val="bullet"/>
      <w:lvlText w:val="●"/>
      <w:lvlJc w:val="left"/>
      <w:pPr>
        <w:ind w:left="6480" w:hanging="360"/>
      </w:pPr>
    </w:lvl>
  </w:abstractNum>
  <w:num w:numId="1" w16cid:durableId="1921014759">
    <w:abstractNumId w:val="1"/>
    <w:lvlOverride w:ilvl="0">
      <w:startOverride w:val="1"/>
    </w:lvlOverride>
  </w:num>
  <w:num w:numId="2" w16cid:durableId="581068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B3"/>
    <w:rsid w:val="00107F01"/>
    <w:rsid w:val="00110EBA"/>
    <w:rsid w:val="00166888"/>
    <w:rsid w:val="00183D0A"/>
    <w:rsid w:val="001B3F67"/>
    <w:rsid w:val="001D7546"/>
    <w:rsid w:val="0021540D"/>
    <w:rsid w:val="002635D4"/>
    <w:rsid w:val="002B0314"/>
    <w:rsid w:val="002E0DA6"/>
    <w:rsid w:val="0031087F"/>
    <w:rsid w:val="00320D82"/>
    <w:rsid w:val="003D0D4B"/>
    <w:rsid w:val="004076B3"/>
    <w:rsid w:val="0041622B"/>
    <w:rsid w:val="004641FC"/>
    <w:rsid w:val="00515F10"/>
    <w:rsid w:val="005D3A58"/>
    <w:rsid w:val="005F6647"/>
    <w:rsid w:val="00644425"/>
    <w:rsid w:val="00655898"/>
    <w:rsid w:val="00676F91"/>
    <w:rsid w:val="00677D83"/>
    <w:rsid w:val="0068385B"/>
    <w:rsid w:val="006957BE"/>
    <w:rsid w:val="0075455B"/>
    <w:rsid w:val="007B1699"/>
    <w:rsid w:val="007B442B"/>
    <w:rsid w:val="007E7639"/>
    <w:rsid w:val="00815BF8"/>
    <w:rsid w:val="00834974"/>
    <w:rsid w:val="0093785C"/>
    <w:rsid w:val="00A079CD"/>
    <w:rsid w:val="00A704BF"/>
    <w:rsid w:val="00AE195D"/>
    <w:rsid w:val="00AF09D9"/>
    <w:rsid w:val="00BF75C0"/>
    <w:rsid w:val="00C8511C"/>
    <w:rsid w:val="00CD23D1"/>
    <w:rsid w:val="00CE1004"/>
    <w:rsid w:val="00CE5D16"/>
    <w:rsid w:val="00CF43EB"/>
    <w:rsid w:val="00CF606D"/>
    <w:rsid w:val="00D25782"/>
    <w:rsid w:val="00D96C3F"/>
    <w:rsid w:val="00DC2E6D"/>
    <w:rsid w:val="00DD3898"/>
    <w:rsid w:val="00E00E2C"/>
    <w:rsid w:val="00E12FFE"/>
    <w:rsid w:val="00EC5ACA"/>
    <w:rsid w:val="00EE7BB4"/>
    <w:rsid w:val="00F17C3C"/>
    <w:rsid w:val="00FE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EA048"/>
  <w15:docId w15:val="{2FAD8450-21B5-4FAF-9F63-5494055F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546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dondice">
    <w:name w:val="TOC Heading"/>
    <w:basedOn w:val="Ttulo1"/>
    <w:next w:val="Normal"/>
    <w:uiPriority w:val="39"/>
    <w:unhideWhenUsed/>
    <w:qFormat/>
    <w:rsid w:val="007B169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7B169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7B169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71FE0-1F69-416C-AD26-401AAC6C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6019</Words>
  <Characters>32506</Characters>
  <Application>Microsoft Office Word</Application>
  <DocSecurity>0</DocSecurity>
  <Lines>270</Lines>
  <Paragraphs>76</Paragraphs>
  <ScaleCrop>false</ScaleCrop>
  <Company/>
  <LinksUpToDate>false</LinksUpToDate>
  <CharactersWithSpaces>38449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Aline Meireles</cp:lastModifiedBy>
  <cp:revision>51</cp:revision>
  <dcterms:created xsi:type="dcterms:W3CDTF">2026-07-11T19:00:00Z</dcterms:created>
  <dcterms:modified xsi:type="dcterms:W3CDTF">2026-07-12T06:32:00Z</dcterms:modified>
</cp:coreProperties>
</file>