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5C3D" w:color="auto" w:val="clear"/>
            <w:tcMar>
              <w:top w:type="dxa" w:w="480"/>
              <w:left w:type="dxa" w:w="360"/>
              <w:bottom w:type="dxa" w:w="420"/>
              <w:right w:type="dxa" w:w="360"/>
            </w:tcMar>
          </w:tcPr>
          <w:p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POLÍTICA DE COMISSIONAMENTO E METAS</w:t>
            </w:r>
          </w:p>
          <w:p>
            <w:pPr>
              <w:jc w:val="center"/>
            </w:pPr>
            <w:r>
              <w:rPr>
                <w:color w:val="FFFFFF"/>
                <w:sz w:val="23"/>
                <w:szCs w:val="23"/>
              </w:rPr>
              <w:t xml:space="preserve">Área Comercial — Amplificadores Next Pro</w:t>
            </w:r>
          </w:p>
        </w:tc>
      </w:tr>
    </w:tbl>
    <w:p>
      <w:pPr>
        <w:spacing w:after="40" w:before="240"/>
      </w:pPr>
      <w:r>
        <w:rPr>
          <w:b/>
          <w:bCs/>
          <w:color w:val="262626"/>
        </w:rPr>
        <w:t xml:space="preserve">Versão 2 · vigência a partir de 1º de outubro de 2026</w:t>
      </w:r>
    </w:p>
    <w:p>
      <w:pPr>
        <w:spacing w:after="120"/>
      </w:pPr>
      <w:r>
        <w:rPr>
          <w:i/>
          <w:iCs/>
          <w:color w:val="595959"/>
        </w:rPr>
        <w:t xml:space="preserve">Documento interno — substitui integralmente as políticas anteriores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1. OBJETIVO E ABRANGÊNCIA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1.1.</w:t>
      </w:r>
      <w:r>
        <w:t xml:space="preserve">	</w:t>
      </w:r>
      <w:r>
        <w:t xml:space="preserve">Esta política estabelece as regras de remuneração variável da área comercial da Next Pro.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1.2.</w:t>
      </w:r>
      <w:r>
        <w:t xml:space="preserve">	</w:t>
      </w:r>
      <w:r>
        <w:t xml:space="preserve">Aplica-se aos integrantes da equipe comercial a partir de 1º de outubro de 2026.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1.3.</w:t>
      </w:r>
      <w:r>
        <w:t xml:space="preserve">	</w:t>
      </w:r>
      <w:r>
        <w:t xml:space="preserve">Para o profissional contratado como pessoa jurídica, esta política é incorporada ao contrato de prestação de serviços como anexo comercial, mediante aditivo. Para o empregado celetista, a comissão integra a remuneração para todos os efeitos legais. O repouso semanal remunerado sobre a comissão é calculado e pago separadamente, na forma da Lei 605/49 e da Súmula 27 do TST.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2. COMPOSIÇÃO DA REMUNERAÇÃO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2.1.</w:t>
      </w:r>
      <w:r>
        <w:t xml:space="preserve">	</w:t>
      </w:r>
      <w:r>
        <w:t xml:space="preserve">A remuneração de cada vendedor é composta por três parcelas: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38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Parcela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Periodicidade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Fixo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mensal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Comissão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percentual sobre o valor recebido dos clientes, incluído o plus trimestral da carteira do Anexo II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mensal (plus: trimestral)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prêmio em valor fixo, condicionado ao atingimento de meta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60"/>
      </w:pP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2.2.</w:t>
      </w:r>
      <w:r>
        <w:t xml:space="preserve">	</w:t>
      </w:r>
      <w:r>
        <w:t xml:space="preserve">O fixo não é adiantamento de comissão. Não é abatido da parcela variável em nenhuma hipótese, e a parcela variável não tem piso a ser compensado.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3. COMISSÃO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3.1. Percentual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3.1.1.</w:t>
      </w:r>
      <w:r>
        <w:t xml:space="preserve">	</w:t>
      </w:r>
      <w:r>
        <w:t xml:space="preserve">O percentual de comissão não varia com o volume de vendas realizado. Não se aplicam faixas, degraus, aceleradores nem qualquer outro mecanismo de progressão da alíquota. A única exceção é o plus trimestral da carteira transferida, previsto no item 3.1.4 e no </w:t>
      </w:r>
      <w:r>
        <w:rPr>
          <w:b/>
          <w:bCs/>
        </w:rPr>
        <w:t xml:space="preserve">Anexo II (Carteira com Nome NEXT PRO)</w:t>
      </w:r>
      <w:r>
        <w:t xml:space="preserve">.</w:t>
      </w:r>
    </w:p>
    <w:p>
      <w:pPr>
        <w:spacing w:after="120" w:line="300"/>
        <w:ind w:left="720"/>
        <w:jc w:val="both"/>
      </w:pPr>
      <w:r>
        <w:t xml:space="preserve">A alíquota é única e uniforme para toda a operação. A única exceção é a carteira consolidada da Next Pro, transferida ou doada, cuja relação consta do </w:t>
      </w:r>
      <w:r>
        <w:rPr>
          <w:b/>
          <w:bCs/>
        </w:rPr>
        <w:t xml:space="preserve">Anexo II (Carteira com Nome NEXT PRO)</w:t>
      </w:r>
      <w:r>
        <w:t xml:space="preserve">. Para essa carteira aplica-se a alíquota reduzida estabelecida no mesmo Anexo.</w:t>
      </w:r>
    </w:p>
    <w:p>
      <w:pPr>
        <w:spacing w:after="120" w:line="300"/>
        <w:ind w:left="720"/>
        <w:jc w:val="both"/>
      </w:pPr>
      <w:r>
        <w:t xml:space="preserve">A alíquota reduzida vale somente para os clientes relacionados no </w:t>
      </w:r>
      <w:r>
        <w:rPr>
          <w:b/>
          <w:bCs/>
        </w:rPr>
        <w:t xml:space="preserve">Anexo II (Carteira com Nome NEXT PRO)</w:t>
      </w:r>
      <w:r>
        <w:t xml:space="preserve"> e para as operações feitas no âmbito dessa carteira. As situações abaixo não dão direito à alíquota reduzida e seguem a alíquota padrão deste instrumento: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a inclusão de novos clientes, ainda que indicados, prospectados ou atendidos pelo representante;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operações feitas fora da carteira originalmente relacionada no </w:t>
      </w:r>
      <w:r>
        <w:rPr>
          <w:b/>
          <w:bCs/>
        </w:rPr>
        <w:t xml:space="preserve">Anexo II (Carteira com Nome NEXT PRO)</w:t>
      </w:r>
      <w:r>
        <w:t xml:space="preserve">.</w:t>
      </w:r>
    </w:p>
    <w:p>
      <w:pPr>
        <w:spacing w:after="120" w:line="300"/>
        <w:ind w:left="720"/>
        <w:jc w:val="both"/>
      </w:pPr>
      <w:r>
        <w:t xml:space="preserve">Qualquer alteração, inclusão ou exclusão de clientes da carteira excepcional, ou de sua alíquota, depende de alteração formal e expressa do </w:t>
      </w:r>
      <w:r>
        <w:rPr>
          <w:b/>
          <w:bCs/>
        </w:rPr>
        <w:t xml:space="preserve">Anexo II (Carteira com Nome NEXT PRO)</w:t>
      </w:r>
      <w:r>
        <w:t xml:space="preserve">, aprovada pelas partes. A única ressalva é a exclusão automática prevista no item 3.1.3(d).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Sobre o quê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Alíquota (pessoa jurídica)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Regra geral: carteira própria, pool livre, cliente novo e cliente reativado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1,00%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Carteira consolidada transferida: </w:t>
            </w:r>
            <w:r>
              <w:rPr>
                <w:b/>
                <w:bCs/>
                <w:sz w:val="20"/>
                <w:szCs w:val="20"/>
              </w:rPr>
              <w:t xml:space="preserve">Anexo II (Carteira com Nome NEXT PRO)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0,30%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Carteira consolidada transferida, no trimestre em que o gatilho do plus for atingido (item 3.1.4)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0,30% + 0,20% = 0,50%</w:t>
            </w:r>
          </w:p>
        </w:tc>
      </w:tr>
    </w:tbl>
    <w:p>
      <w:pPr>
        <w:spacing w:after="60"/>
      </w:pP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3.1.2.</w:t>
      </w:r>
      <w:r>
        <w:t xml:space="preserve">	</w:t>
      </w:r>
      <w:r>
        <w:rPr>
          <w:b/>
          <w:bCs/>
        </w:rPr>
        <w:t xml:space="preserve">Por que a carteira transferida paga menos?</w:t>
      </w:r>
      <w:r>
        <w:t xml:space="preserve"> São contas maduras, que já compram com regularidade e foram construídas por trabalho anterior. Elas exigem bom atendimento, e não construção de relacionamento nem abertura de conta.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3.1.3.</w:t>
      </w:r>
      <w:r>
        <w:t xml:space="preserve">	</w:t>
      </w:r>
      <w:r>
        <w:rPr>
          <w:b/>
          <w:bCs/>
        </w:rPr>
        <w:t xml:space="preserve">O que é, e o que não é, carteira transferida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(a)</w:t>
      </w:r>
      <w:r>
        <w:t xml:space="preserve">	</w:t>
      </w:r>
      <w:r>
        <w:t xml:space="preserve">Para fins deste instrumento, considera-se carteira transferida exclusivamente o conjunto de contas relacionadas no </w:t>
      </w:r>
      <w:r>
        <w:rPr>
          <w:b/>
          <w:bCs/>
        </w:rPr>
        <w:t xml:space="preserve">Anexo II (Carteira com Nome NEXT PRO)</w:t>
      </w:r>
      <w:r>
        <w:t xml:space="preserve">. Essas contas correspondem aos clientes recorrentes identificados no ERP CPD sob a denominação "Vendedor: CARTEIRA NEXT PRO". A gestão comercial dessas contas foi transferida ao vendedor em 1º de outubro de 2026, em razão do desligamento do vendedor anteriormente responsável.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(b)</w:t>
      </w:r>
      <w:r>
        <w:t xml:space="preserve">	</w:t>
      </w:r>
      <w:r>
        <w:rPr>
          <w:b/>
          <w:bCs/>
        </w:rPr>
        <w:t xml:space="preserve">Caráter definitivo da carteira transferida.</w:t>
      </w:r>
      <w:r>
        <w:t xml:space="preserve"> A relação de contas do </w:t>
      </w:r>
      <w:r>
        <w:rPr>
          <w:b/>
          <w:bCs/>
        </w:rPr>
        <w:t xml:space="preserve">Anexo II (Carteira com Nome NEXT PRO)</w:t>
      </w:r>
      <w:r>
        <w:t xml:space="preserve"> é fechada, definitiva e imutável. Nenhuma nova conta de cliente pode ser acrescida a ela após 1º de outubro de 2026, qualquer que seja a origem, a forma de prospecção, a indicação ou o motivo. A ampliação da base de clientes de cada vendedor não altera nem amplia a carteira transferida, que permanece limitada às contas relacionadas no </w:t>
      </w:r>
      <w:r>
        <w:rPr>
          <w:b/>
          <w:bCs/>
        </w:rPr>
        <w:t xml:space="preserve">Anexo II (Carteira com Nome NEXT PRO)</w:t>
      </w:r>
      <w:r>
        <w:t xml:space="preserve"> na data da transferência.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(c)</w:t>
      </w:r>
      <w:r>
        <w:t xml:space="preserve">	</w:t>
      </w:r>
      <w:r>
        <w:t xml:space="preserve">Não integram a carteira transferida, ainda que venham a ser atendidos pelo vendedor: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os clientes da carteira própria;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os clientes do pool livre;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os clientes conquistados;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os clientes reativados.</w:t>
      </w:r>
    </w:p>
    <w:p>
      <w:pPr>
        <w:spacing w:after="120" w:line="300"/>
        <w:ind w:left="720"/>
        <w:jc w:val="both"/>
      </w:pPr>
      <w:r>
        <w:t xml:space="preserve">Esses clientes seguem a regra geral de remuneração deste instrumento.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(d)</w:t>
      </w:r>
      <w:r>
        <w:t xml:space="preserve">	</w:t>
      </w:r>
      <w:r>
        <w:t xml:space="preserve">A conta da carteira transferida que ficar 12 (doze) meses consecutivos sem nenhuma compra é excluída automaticamente do </w:t>
      </w:r>
      <w:r>
        <w:rPr>
          <w:b/>
          <w:bCs/>
        </w:rPr>
        <w:t xml:space="preserve">Anexo II (Carteira com Nome NEXT PRO)</w:t>
      </w:r>
      <w:r>
        <w:t xml:space="preserve">. Se depois ela for recuperada ou reativada pelo vendedor, a operação é considerada recuperação de cliente e segue a regra geral de remuneração, sem a alíquota reduzida.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(e)</w:t>
      </w:r>
      <w:r>
        <w:t xml:space="preserve">	</w:t>
      </w:r>
      <w:r>
        <w:t xml:space="preserve">A conta da carteira transferida não é excluída da carteira em caso de alteração do CNPJ, abertura de filial, alteração ou substituição da razão social ou qualquer outra alteração cadastral. A condição é que se trate do mesmo cliente ou grupo econômico e que seja possível identificar a continuidade da relação comercial.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(f)</w:t>
      </w:r>
      <w:r>
        <w:t xml:space="preserve">	</w:t>
      </w:r>
      <w:r>
        <w:t xml:space="preserve">A identificação de cada conta da carteira transferida será registrada no ERP em 1º de outubro de 2026 e reproduzida no </w:t>
      </w:r>
      <w:r>
        <w:rPr>
          <w:b/>
          <w:bCs/>
        </w:rPr>
        <w:t xml:space="preserve">Anexo II (Carteira com Nome NEXT PRO)</w:t>
      </w:r>
      <w:r>
        <w:t xml:space="preserve">. Ela fica disponível no sistema e aparece no relatório mensal de apuração das comissões. O relatório deve permitir ao vendedor conferir cada operação e identificar a alíquota aplicada em cada venda.</w:t>
      </w:r>
    </w:p>
    <w:p>
      <w:pPr>
        <w:tabs>
          <w:tab w:val="left" w:pos="1440"/>
        </w:tabs>
        <w:spacing w:after="140" w:line="300"/>
        <w:ind w:left="1440" w:hanging="720"/>
        <w:jc w:val="both"/>
      </w:pPr>
      <w:r>
        <w:rPr>
          <w:b/>
          <w:bCs/>
          <w:color w:val="0E5C3D"/>
        </w:rPr>
        <w:t xml:space="preserve">(g)</w:t>
      </w:r>
      <w:r>
        <w:t xml:space="preserve">	</w:t>
      </w:r>
      <w:r>
        <w:t xml:space="preserve">A alíquota reduzida vale somente para as operações com as contas que, nos termos desta cláusula, permanecerem no </w:t>
      </w:r>
      <w:r>
        <w:rPr>
          <w:b/>
          <w:bCs/>
        </w:rPr>
        <w:t xml:space="preserve">Anexo II (Carteira com Nome NEXT PRO)</w:t>
      </w:r>
      <w:r>
        <w:t xml:space="preserve">. Todas as demais operações seguem a alíquota padrão deste instrumento.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3.1.4.</w:t>
      </w:r>
      <w:r>
        <w:t xml:space="preserve">	</w:t>
      </w:r>
      <w:r>
        <w:rPr>
          <w:b/>
          <w:bCs/>
        </w:rPr>
        <w:t xml:space="preserve">Plus trimestral da carteira transferida.</w:t>
      </w:r>
      <w:r>
        <w:t xml:space="preserve"> No trimestre em que o faturamento bruto das contas do </w:t>
      </w:r>
      <w:r>
        <w:rPr>
          <w:b/>
          <w:bCs/>
        </w:rPr>
        <w:t xml:space="preserve">Anexo II (Carteira com Nome NEXT PRO)</w:t>
      </w:r>
      <w:r>
        <w:t xml:space="preserve"> ultrapassar 110% da média trimestral de referência desses mesmos clientes, é devido um plus de 0,20% (vinte centésimos por cento). O plus incide sobre a Base de Cálculo de Comissão das parcelas dessas contas recebidas no trimestre. A média de referência, a forma de apuração e o pagamento do plus estão definidos no </w:t>
      </w:r>
      <w:r>
        <w:rPr>
          <w:b/>
          <w:bCs/>
        </w:rPr>
        <w:t xml:space="preserve">Anexo II (Carteira com Nome NEXT PRO)</w:t>
      </w:r>
      <w:r>
        <w:t xml:space="preserve">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3.2. Base de cálculo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3.2.1.</w:t>
      </w:r>
      <w:r>
        <w:t xml:space="preserve">	</w:t>
      </w:r>
      <w:r>
        <w:t xml:space="preserve">A comissão incide sobre a Base de Cálculo de Comissão apurada em cada parcela efetivamente recebida. Excluem-se da base os tributos, encargos e despesas que não constituem receita própria da Next Pro. A exclusão vale mesmo quando esses valores estão embutidos no preço de venda e não são cobrados nem destacados separadamente do cliente. Estão incluídos: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IPI (Imposto sobre Produtos Industrializados);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Frete (valores de terceiros);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ICMS-ST ou DIFAL-ST (substituição tributária);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DIFAL e FCP (Diferencial de Alíquota e Fundo de Combate à Pobreza), inclusive nas operações com consumidor final não contribuinte do ICMS.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3.2.2.</w:t>
      </w:r>
      <w:r>
        <w:t xml:space="preserve">	</w:t>
      </w:r>
      <w:r>
        <w:t xml:space="preserve">Juros e multa por atraso não integram a base, porque são receita financeira, e não venda.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3.2.3.</w:t>
      </w:r>
      <w:r>
        <w:t xml:space="preserve">	</w:t>
      </w:r>
      <w:r>
        <w:t xml:space="preserve">Não geram comissão as saídas em demonstração, comodato, bonificação, garantia, reposição ou brinde.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3.3. Momento do pagamento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3.3.1.</w:t>
      </w:r>
      <w:r>
        <w:t xml:space="preserve">	</w:t>
      </w:r>
      <w:r>
        <w:t xml:space="preserve">A comissão é devida à medida que o cliente paga, parcela por parcela. Venda faturada e ainda não recebida não gera comissão. A parcela recebida gera comissão na apuração do mês do recebimento.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3.4. Apuração e pagamento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3.4.1.</w:t>
      </w:r>
      <w:r>
        <w:t xml:space="preserve">	</w:t>
      </w:r>
      <w:r>
        <w:t xml:space="preserve">A apuração fecha no último dia de cada mês e considera as parcelas com data de recebimento dentro do mês. O pagamento ocorre todo dia 20.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3.4.2.</w:t>
      </w:r>
      <w:r>
        <w:t xml:space="preserve">	</w:t>
      </w:r>
      <w:r>
        <w:t xml:space="preserve">O relatório de apuração é entregue ao vendedor junto com o pagamento. Ele detalha nota fiscal, cliente, parcela, data de recebimento, base, alíquota aplicada e valor, além do faturamento bruto do mês e do percentual de atingimento da meta. Divergências devem ser apontadas em até 10 dias corridos.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3.5. Estorno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3.5.1.</w:t>
      </w:r>
      <w:r>
        <w:t xml:space="preserve">	</w:t>
      </w:r>
      <w:r>
        <w:t xml:space="preserve">A comissão já paga é estornada na apuração seguinte em caso de cancelamento da nota fiscal ou de devolução total ou parcial. Na devolução, o estorno é proporcional ao valor devolvido, com fundamento no art. 7º da Lei 3.207/1957. A mesma regra se aplica ao plus trimestral pago sobre a operação cancelada ou devolvida.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3.5.2.</w:t>
      </w:r>
      <w:r>
        <w:t xml:space="preserve">	</w:t>
      </w:r>
      <w:r>
        <w:t xml:space="preserve">Não há estorno por atraso simples. Enquanto o título estiver em cobrança normal, a comissão apenas não é gerada. Quando o cliente pagar, ela é gerada.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3.6. Encerramento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3.6.1.</w:t>
      </w:r>
      <w:r>
        <w:t xml:space="preserve">	</w:t>
      </w:r>
      <w:r>
        <w:t xml:space="preserve">Encerrado o contrato por qualquer das partes, as comissões sobre notas já emitidas continuam devidas e são pagas à medida que as parcelas forem recebidas. Alternativamente, mediante acordo escrito, o saldo pode ser antecipado em parcela única, com desconto financeiro a negociar.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3.6.2.</w:t>
      </w:r>
      <w:r>
        <w:t xml:space="preserve">	</w:t>
      </w:r>
      <w:r>
        <w:t xml:space="preserve">Vendas não faturadas na data do encerramento não geram comissão, ainda que já negociadas.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4. META INDIVIDUAL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4.1.</w:t>
      </w:r>
      <w:r>
        <w:t xml:space="preserve">	</w:t>
      </w:r>
      <w:r>
        <w:t xml:space="preserve">A meta individual é medida no faturamento bruto, ou seja, o valor total das notas emitidas no mês, sem nenhuma dedução. Ela é diferente da base de comissão: a meta mede o esforço do mês corrente, enquanto o recebimento reflete vendas de meses anteriores.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4.2.</w:t>
      </w:r>
      <w:r>
        <w:t xml:space="preserve">	</w:t>
      </w:r>
      <w:r>
        <w:t xml:space="preserve">A meta individual não paga comissão nem prêmio por si só. Ela serve para três coisas: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orientar a conversa mensal de acompanhamento;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servir de base para o UP trimestral do item 5;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embasar decisões de reajuste, redistribuição de carteira e continuidade.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4.3.</w:t>
      </w:r>
      <w:r>
        <w:t xml:space="preserve">	</w:t>
      </w:r>
      <w:r>
        <w:t xml:space="preserve">As metas vigentes para o 4º trimestre de 2026 são: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Leandro Favarim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Outubro/2026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R$ 600.000,00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Novembro/2026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R$ 600.000,00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Dezembro/2026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R$ 400.000,00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do trimestre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R$ 1.600.000,00</w:t>
            </w:r>
          </w:p>
        </w:tc>
      </w:tr>
    </w:tbl>
    <w:p>
      <w:pPr>
        <w:spacing w:after="60"/>
      </w:pP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4.4.</w:t>
      </w:r>
      <w:r>
        <w:t xml:space="preserve">	</w:t>
      </w:r>
      <w:r>
        <w:rPr>
          <w:b/>
          <w:bCs/>
        </w:rPr>
        <w:t xml:space="preserve">Revisão.</w:t>
      </w:r>
      <w:r>
        <w:t xml:space="preserve"> As metas são acompanhadas mês a mês e revisadas formalmente a cada trimestre. A revisão pode ser para cima ou para baixo, conforme o desempenho observado, o tamanho da carteira e o plano comercial.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4.5.</w:t>
      </w:r>
      <w:r>
        <w:t xml:space="preserve">	</w:t>
      </w:r>
      <w:r>
        <w:t xml:space="preserve">Toda alteração de meta, inclusive a entrada de novo vendedor com meta própria, é comunicada por escrito antes de entrar em vigor. A alteração vale para os meses seguintes, nunca retroativamente.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4.6.</w:t>
      </w:r>
      <w:r>
        <w:t xml:space="preserve">	</w:t>
      </w:r>
      <w:r>
        <w:rPr>
          <w:b/>
          <w:bCs/>
        </w:rPr>
        <w:t xml:space="preserve">Leitura da avaliação mensal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Atingimento da meta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Abaixo de 70%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plano de 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 70% a 90%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acompanhamento quinzenal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 90% a 110%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rumo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Acima de 110% por três meses seguidos</w:t>
            </w:r>
          </w:p>
        </w:tc>
        <w:tc>
          <w:tcPr>
            <w:tcW w:type="dxa" w:w="4819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[a definir]</w:t>
            </w:r>
          </w:p>
        </w:tc>
      </w:tr>
    </w:tbl>
    <w:p>
      <w:pPr>
        <w:spacing w:after="60"/>
      </w:pP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4.7.</w:t>
      </w:r>
      <w:r>
        <w:t xml:space="preserve">	</w:t>
      </w:r>
      <w:r>
        <w:t xml:space="preserve">O faturamento não é o único sinal observado. Um mês feito de duas notas grandes é mais frágil do que o mesmo valor feito de trinta clientes. Por isso, o número de clientes faturados no mês entra na avaliação, ao lado do valor.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5. UP TRIMESTRAL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5.1.</w:t>
      </w:r>
      <w:r>
        <w:t xml:space="preserve">	</w:t>
      </w:r>
      <w:r>
        <w:t xml:space="preserve">O UP é um prêmio trimestral pago em valor fixo, condicionado a um faturamento bruto acima da meta do trimestre.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5.2.</w:t>
      </w:r>
      <w:r>
        <w:t xml:space="preserve">	</w:t>
      </w:r>
      <w:r>
        <w:rPr>
          <w:b/>
          <w:bCs/>
        </w:rPr>
        <w:t xml:space="preserve">Regra do 4º trimestre de 2026 (outubro a dezembro).</w:t>
      </w:r>
      <w:r>
        <w:t xml:space="preserve"> Neste trimestre, o UP é apurado somente sobre a meta individual trimestral de Leandro Favarim, de </w:t>
      </w:r>
      <w:r>
        <w:rPr>
          <w:b/>
          <w:bCs/>
        </w:rPr>
        <w:t xml:space="preserve">R$ 1.600.000,00</w:t>
      </w:r>
      <w:r>
        <w:t xml:space="preserve"> (R$ 600.000 + R$ 600.000 + R$ 400.000), e sobre o faturamento bruto dele no período. A entrada de um novo vendedor durante o trimestre não altera esta regra.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5.3.</w:t>
      </w:r>
      <w:r>
        <w:t xml:space="preserve">	</w:t>
      </w:r>
      <w:r>
        <w:t xml:space="preserve">O prêmio é liberado em três níveis. Os níveis não se acumulam: é pago somente o valor do maior nível atingido.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38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Faturamento bruto no trimestre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Nível 1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partir de 103% da meta: </w:t>
            </w:r>
            <w:r>
              <w:rPr>
                <w:b/>
                <w:bCs/>
                <w:sz w:val="20"/>
                <w:szCs w:val="20"/>
              </w:rPr>
              <w:t xml:space="preserve">R$ 1.648.000,00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R$ 2.000,00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Nível 2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partir de 105% da meta: </w:t>
            </w:r>
            <w:r>
              <w:rPr>
                <w:b/>
                <w:bCs/>
                <w:sz w:val="20"/>
                <w:szCs w:val="20"/>
              </w:rPr>
              <w:t xml:space="preserve">R$ 1.680.000,00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R$ 3.000,00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Nível 3</w:t>
            </w:r>
          </w:p>
        </w:tc>
        <w:tc>
          <w:tcPr>
            <w:tcW w:type="dxa" w:w="5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partir de 107% da meta: </w:t>
            </w:r>
            <w:r>
              <w:rPr>
                <w:b/>
                <w:bCs/>
                <w:sz w:val="20"/>
                <w:szCs w:val="20"/>
              </w:rPr>
              <w:t xml:space="preserve">R$ 1.712.000,00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R$ 4.000,00</w:t>
            </w:r>
          </w:p>
        </w:tc>
      </w:tr>
    </w:tbl>
    <w:p>
      <w:pPr>
        <w:spacing w:after="60"/>
      </w:pP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5.4.</w:t>
      </w:r>
      <w:r>
        <w:t xml:space="preserve">	</w:t>
      </w:r>
      <w:r>
        <w:rPr>
          <w:b/>
          <w:bCs/>
        </w:rPr>
        <w:t xml:space="preserve">A partir de 2027.</w:t>
      </w:r>
      <w:r>
        <w:t xml:space="preserve"> Quando a equipe tiver mais de um vendedor, a meta do UP passa a ser a soma das metas individuais do período, com os mesmos percentuais de nível. Nesse caso aplica-se a </w:t>
      </w:r>
      <w:r>
        <w:rPr>
          <w:b/>
          <w:bCs/>
        </w:rPr>
        <w:t xml:space="preserve">trava individual</w:t>
      </w:r>
      <w:r>
        <w:t xml:space="preserve">: só recebe o prêmio quem tiver atingido no mínimo 85% da própria meta individual acumulada no trimestre, ainda que a equipe tenha batido a meta geral. As metas e os valores serão divulgados por escrito antes do início do trimestre.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5.5.</w:t>
      </w:r>
      <w:r>
        <w:t xml:space="preserve">	</w:t>
      </w:r>
      <w:r>
        <w:rPr>
          <w:b/>
          <w:bCs/>
        </w:rPr>
        <w:t xml:space="preserve">Enquadramento.</w:t>
      </w:r>
      <w:r>
        <w:t xml:space="preserve"> O prêmio pago por desempenho superior ao ordinariamente esperado não integra a remuneração.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5.6.</w:t>
      </w:r>
      <w:r>
        <w:t xml:space="preserve">	</w:t>
      </w:r>
      <w:r>
        <w:rPr>
          <w:b/>
          <w:bCs/>
        </w:rPr>
        <w:t xml:space="preserve">Condições de validade.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A meta é divulgada por escrito antes do início do trimestre.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 prêmio não é garantido nem habitual.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O vendedor desligado antes do fechamento do trimestre não tem direito ao prêmio do período.</w:t>
      </w:r>
    </w:p>
    <w:p>
      <w:pPr>
        <w:pStyle w:val="ListParagraph"/>
        <w:numPr>
          <w:ilvl w:val="1"/>
          <w:numId w:val="2"/>
        </w:numPr>
        <w:spacing w:after="60" w:line="300"/>
        <w:jc w:val="both"/>
      </w:pPr>
      <w:r>
        <w:t xml:space="preserve">A apuração é registrada e arquivada com o realizado de cada indicador.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5.7.</w:t>
      </w:r>
      <w:r>
        <w:t xml:space="preserve">	</w:t>
      </w:r>
      <w:r>
        <w:t xml:space="preserve">O UP é apurado até o décimo dia útil do mês seguinte ao fechamento do trimestre e pago junto com a apuração daquele mês.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6. CAMPANHAS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6.1.</w:t>
      </w:r>
      <w:r>
        <w:t xml:space="preserve">	</w:t>
      </w:r>
      <w:r>
        <w:t xml:space="preserve">Campanhas pontuais continuam permitidas, por exemplo para girar estoque parado, impulsionar um lançamento ou reativar uma região.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6.2.</w:t>
      </w:r>
      <w:r>
        <w:t xml:space="preserve">	</w:t>
      </w:r>
      <w:r>
        <w:t xml:space="preserve">Prazo, critério de apuração e valor máximo de premiação são definidos por escrito antes do início. A campanha não é retroativa e não se renova automaticamente.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6.3.</w:t>
      </w:r>
      <w:r>
        <w:t xml:space="preserve">	</w:t>
      </w:r>
      <w:r>
        <w:t xml:space="preserve">O prêmio de campanha é sempre um valor fixo ou um bem, nunca um percentual adicional de comissão. A campanha não altera a comissão do item 3: ela se soma a ela.</w:t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7. VIGÊNCIA, ALTERAÇÃO E CIÊNCIA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7.1.</w:t>
      </w:r>
      <w:r>
        <w:t xml:space="preserve">	</w:t>
      </w:r>
      <w:r>
        <w:t xml:space="preserve">Esta política entra em vigor em 1º de outubro de 2026 e substitui integralmente as versões anteriores.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7.2.</w:t>
      </w:r>
      <w:r>
        <w:t xml:space="preserve">	</w:t>
      </w:r>
      <w:r>
        <w:t xml:space="preserve">As metas são revisadas a cada trimestre, na forma do item 4.4. O percentual de comissão, o plus trimestral do Anexo II, os valores de UP e a divisão de carteira são revisados anualmente. Fora dessa época, a revisão também ocorre em caso de entrada ou saída de vendedor ou de mudança relevante de mercado.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7.3.</w:t>
      </w:r>
      <w:r>
        <w:t xml:space="preserve">	</w:t>
      </w:r>
      <w:r>
        <w:t xml:space="preserve">Alterações que reduzam o percentual ou a base de cálculo não retroagem e não se aplicam a vendas já faturadas. Elas são comunicadas por escrito com pelo menos 30 dias de antecedência.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7.4.</w:t>
      </w:r>
      <w:r>
        <w:t xml:space="preserve">	</w:t>
      </w:r>
      <w:r>
        <w:t xml:space="preserve">Casos omissos são decididos por escrito pela diretoria, junto com os recursos humanos.</w:t>
      </w:r>
    </w:p>
    <w:p>
      <w:r>
        <w:br w:type="page"/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ANEXO II — CARTEIRA NEXT PRO CONSOLIDADA (Carteira com Nome NEXT PRO)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1. Relação das contas</w:t>
      </w:r>
    </w:p>
    <w:p>
      <w:pPr>
        <w:spacing w:after="120" w:line="300"/>
        <w:jc w:val="both"/>
      </w:pPr>
      <w:r>
        <w:t xml:space="preserve">Relação das contas identificadas no ERP CPD sob a denominação </w:t>
      </w:r>
      <w:r>
        <w:rPr>
          <w:b/>
          <w:bCs/>
        </w:rPr>
        <w:t xml:space="preserve">"Vendedor: CARTEIRA NEXT PRO"</w:t>
      </w:r>
      <w:r>
        <w:t xml:space="preserve"> em 1º de outubro de 2026. A essas contas aplica-se a alíquota reduzida de </w:t>
      </w:r>
      <w:r>
        <w:rPr>
          <w:b/>
          <w:bCs/>
        </w:rPr>
        <w:t xml:space="preserve">0,30%</w:t>
      </w:r>
      <w:r>
        <w:t xml:space="preserve">, nos termos do item 3.1 da política.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638"/>
        <w:gridCol w:w="2200"/>
        <w:gridCol w:w="1600"/>
      </w:tblGrid>
      <w:tr>
        <w:trPr>
          <w:tblHeader/>
        </w:trPr>
        <w:tc>
          <w:tcPr>
            <w:tcW w:type="dxa" w:w="7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5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ERP</w:t>
            </w:r>
          </w:p>
        </w:tc>
        <w:tc>
          <w:tcPr>
            <w:tcW w:type="dxa" w:w="3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CNPJ</w:t>
            </w:r>
          </w:p>
        </w:tc>
        <w:tc>
          <w:tcPr>
            <w:tcW w:type="dxa" w:w="16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Cidade/UF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16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16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16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16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22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16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Esta relação é fechada e só pode ser alterada na forma dos itens 3.1 e 3.1.3 da política.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2. Plus trimestral (gatilho de 110%)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2.1.</w:t>
      </w:r>
      <w:r>
        <w:t xml:space="preserve">	</w:t>
      </w:r>
      <w:r>
        <w:rPr>
          <w:b/>
          <w:bCs/>
        </w:rPr>
        <w:t xml:space="preserve">Gatilho.</w:t>
      </w:r>
      <w:r>
        <w:t xml:space="preserve"> O plus é devido no trimestre em que o faturamento bruto das contas relacionadas neste Anexo ultrapassar </w:t>
      </w:r>
      <w:r>
        <w:rPr>
          <w:b/>
          <w:bCs/>
        </w:rPr>
        <w:t xml:space="preserve">110% da média trimestral de referência</w:t>
      </w:r>
      <w:r>
        <w:t xml:space="preserve"> desses mesmos clientes.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2.2.</w:t>
      </w:r>
      <w:r>
        <w:t xml:space="preserve">	</w:t>
      </w:r>
      <w:r>
        <w:rPr>
          <w:b/>
          <w:bCs/>
        </w:rPr>
        <w:t xml:space="preserve">Média trimestral de referência.</w:t>
      </w:r>
      <w:r>
        <w:t xml:space="preserve"> É o faturamento bruto total das contas deste Anexo nos 12 meses anteriores à transferência (1º de outubro de 2025 a 30 de setembro de 2026), dividido por 4. O valor é fixado neste Anexo na data da transferência e só pode ser alterado por aditivo.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0E5C3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Faturamento bruto das contas do Anexo II — out/2025 a set/2026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____________________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Média trimestral de referência (valor acima ÷ 4)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shd w:fill="E8F1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____________________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Gatilho do plus: 110% da média trimestral de referência</w:t>
            </w:r>
          </w:p>
        </w:tc>
        <w:tc>
          <w:tcPr>
            <w:tcW w:type="dxa" w:w="3000"/>
            <w:tcBorders>
              <w:top w:val="single" w:color="BFD3C8" w:sz="4"/>
              <w:left w:val="single" w:color="BFD3C8" w:sz="4"/>
              <w:bottom w:val="single" w:color="BFD3C8" w:sz="4"/>
              <w:right w:val="single" w:color="BFD3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____________________</w:t>
            </w:r>
          </w:p>
        </w:tc>
      </w:tr>
    </w:tbl>
    <w:p>
      <w:pPr>
        <w:spacing w:after="60"/>
      </w:pP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2.3.</w:t>
      </w:r>
      <w:r>
        <w:t xml:space="preserve">	</w:t>
      </w:r>
      <w:r>
        <w:rPr>
          <w:b/>
          <w:bCs/>
        </w:rPr>
        <w:t xml:space="preserve">Valor do plus.</w:t>
      </w:r>
      <w:r>
        <w:t xml:space="preserve"> Atingido o gatilho, é devido um adicional de </w:t>
      </w:r>
      <w:r>
        <w:rPr>
          <w:b/>
          <w:bCs/>
        </w:rPr>
        <w:t xml:space="preserve">0,20%</w:t>
      </w:r>
      <w:r>
        <w:t xml:space="preserve"> sobre a Base de Cálculo de Comissão (item 3.2 da política) de todas as parcelas das contas deste Anexo recebidas no trimestre. Com isso, a alíquota efetiva da carteira no trimestre passa de 0,30% para </w:t>
      </w:r>
      <w:r>
        <w:rPr>
          <w:b/>
          <w:bCs/>
        </w:rPr>
        <w:t xml:space="preserve">0,50%</w:t>
      </w:r>
      <w:r>
        <w:t xml:space="preserve">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2.4.</w:t>
      </w:r>
      <w:r>
        <w:t xml:space="preserve">	</w:t>
      </w:r>
      <w:r>
        <w:rPr>
          <w:b/>
          <w:bCs/>
        </w:rPr>
        <w:t xml:space="preserve">Apuração e pagamento.</w:t>
      </w:r>
      <w:r>
        <w:t xml:space="preserve"> O plus é apurado no fechamento de cada trimestre civil (março, junho, setembro e dezembro). Ele é pago até o décimo dia útil do mês seguinte, junto com a apuração daquele mês. O relatório de apuração deve mostrar o faturamento bruto das contas do Anexo no trimestre, o valor do gatilho e a base sobre a qual o plus foi calculado.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2.5.</w:t>
      </w:r>
      <w:r>
        <w:t xml:space="preserve">	</w:t>
      </w:r>
      <w:r>
        <w:rPr>
          <w:b/>
          <w:bCs/>
        </w:rPr>
        <w:t xml:space="preserve">Primeiro trimestre.</w:t>
      </w:r>
      <w:r>
        <w:t xml:space="preserve"> O primeiro trimestre de apuração é o 4º trimestre de 2026 (outubro a dezembro de 2026).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2.6.</w:t>
      </w:r>
      <w:r>
        <w:t xml:space="preserve">	</w:t>
      </w:r>
      <w:r>
        <w:t xml:space="preserve">O plus não é cumulativo entre trimestres. O trimestre que não atingir o gatilho não gera plus, e não há compensação com trimestres anteriores ou seguintes.</w:t>
      </w:r>
    </w:p>
    <w:p>
      <w:pPr>
        <w:tabs>
          <w:tab w:val="left" w:pos="720"/>
        </w:tabs>
        <w:spacing w:after="120" w:line="300"/>
        <w:ind w:left="720" w:hanging="720"/>
        <w:jc w:val="both"/>
      </w:pPr>
      <w:r>
        <w:rPr>
          <w:b/>
          <w:bCs/>
          <w:color w:val="0E5C3D"/>
        </w:rPr>
        <w:t xml:space="preserve">2.7.</w:t>
      </w:r>
      <w:r>
        <w:t xml:space="preserve">	</w:t>
      </w:r>
      <w:r>
        <w:t xml:space="preserve">O plus é parte da comissão e segue as mesmas regras de base de cálculo, estorno (item 3.5) e encerramento (item 3.6) da política.</w:t>
      </w:r>
    </w:p>
    <w:p>
      <w:pPr>
        <w:spacing w:after="60"/>
      </w:pPr>
    </w:p>
    <w:p>
      <w:pPr>
        <w:spacing w:after="120" w:line="300"/>
        <w:jc w:val="both"/>
      </w:pPr>
      <w:r>
        <w:t xml:space="preserve">Rubricas: ______________________________   /   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0E5C3D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E5C3D"/>
          <w:spacing w:val="20"/>
          <w:sz w:val="21"/>
          <w:szCs w:val="21"/>
        </w:rPr>
        <w:t xml:space="preserve">TERMO DE CIÊNCIA</w:t>
      </w:r>
    </w:p>
    <w:p>
      <w:pPr>
        <w:spacing w:after="120" w:line="300"/>
        <w:jc w:val="both"/>
      </w:pPr>
      <w:r>
        <w:t xml:space="preserve">Declaro que recebi, li e compreendi integralmente a Política de Comissionamento e Metas da Amplificadores Next Pro, versão 2, com vigência a partir de 1º de outubro de 2026, incluindo: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a alíquota de comissão, a sua base de cálculo e a alíquota reduzida que incide exclusivamente sobre as contas relacionadas no </w:t>
      </w:r>
      <w:r>
        <w:rPr>
          <w:b/>
          <w:bCs/>
        </w:rPr>
        <w:t xml:space="preserve">Anexo II (Carteira com Nome NEXT PRO)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o plus trimestral de 0,20% sobre a carteira do </w:t>
      </w:r>
      <w:r>
        <w:rPr>
          <w:b/>
          <w:bCs/>
        </w:rPr>
        <w:t xml:space="preserve">Anexo II (Carteira com Nome NEXT PRO)</w:t>
      </w:r>
      <w:r>
        <w:t xml:space="preserve">, o seu gatilho de 110% da média trimestral de referência e a forma de apuração;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a regra de pagamento conforme o recebimento das parcelas, e suas consequências de prazo;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as hipóteses de estorno e o tratamento no encerramento do contrato;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a minha meta individual, a periodicidade da sua revisão e os critérios da avaliação mensal;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a meta do UP trimestral, os seus níveis de premiação e as suas condições, inclusive a regra específica do 4º trimestre de 2026.</w:t>
      </w:r>
    </w:p>
    <w:p>
      <w:pPr>
        <w:spacing w:after="120" w:line="300"/>
        <w:jc w:val="both"/>
      </w:pPr>
      <w:r>
        <w:t xml:space="preserve">Declaro estar ciente de que o UP trimestral é um prêmio condicionado ao atingimento de metas desafiadoras. Ele não é parcela garantida nem habitual, e a sua concessão em um trimestre não gera direito adquirido nos trimestres seguintes.</w:t>
      </w:r>
    </w:p>
    <w:p>
      <w:pPr>
        <w:spacing w:after="120" w:before="360"/>
      </w:pPr>
      <w:r>
        <w:t xml:space="preserve">Valinhos, ______ de _________________________ de 20______.</w:t>
      </w:r>
    </w:p>
    <w:p>
      <w:pPr>
        <w:spacing w:after="60" w:before="240"/>
      </w:pPr>
      <w:r>
        <w:t xml:space="preserve">Nome: ______________________________________________</w:t>
      </w:r>
    </w:p>
    <w:p>
      <w:pPr>
        <w:spacing w:after="60" w:before="240"/>
      </w:pPr>
      <w:r>
        <w:t xml:space="preserve">CPF / CNPJ: ______________________________________________</w:t>
      </w:r>
    </w:p>
    <w:p>
      <w:pPr>
        <w:spacing w:after="60" w:before="240"/>
      </w:pPr>
      <w:r>
        <w:t xml:space="preserve">Assinatura: ______________________________________________</w:t>
      </w:r>
    </w:p>
    <w:p>
      <w:pPr>
        <w:spacing w:after="0" w:before="720"/>
        <w:jc w:val="center"/>
      </w:pPr>
      <w:r>
        <w:t xml:space="preserve">_________________________________________</w:t>
      </w:r>
    </w:p>
    <w:p>
      <w:pPr>
        <w:jc w:val="center"/>
      </w:pPr>
      <w:r>
        <w:rPr>
          <w:b/>
          <w:bCs/>
        </w:rPr>
        <w:t xml:space="preserve">Amplificadores Next Pro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Política de Comissionamento e Metas · Versão 02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6"/>
      </w:pBdr>
      <w:tabs>
        <w:tab w:val="right" w:pos="9638"/>
      </w:tabs>
    </w:pPr>
    <w:r>
      <w:rPr>
        <w:b/>
        <w:bCs/>
        <w:color w:val="6E9E8A"/>
        <w:spacing w:val="60"/>
        <w:sz w:val="16"/>
        <w:szCs w:val="16"/>
      </w:rPr>
      <w:t xml:space="preserve">NEXT PRO</w:t>
    </w:r>
    <w:r>
      <w:rPr>
        <w:color w:val="7F7F7F"/>
        <w:sz w:val="15"/>
        <w:szCs w:val="15"/>
      </w:rPr>
      <w:t xml:space="preserve">	Política de Comissionamento e Metas · Versão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  <w:lvl w:ilvl="1" w15:tentative="1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Comissionamento e Metas — Versão 2</dc:title>
  <dc:creator>Amplificadores Next Pro</dc:creator>
  <cp:lastModifiedBy>Un-named</cp:lastModifiedBy>
  <cp:revision>1</cp:revision>
  <dcterms:created xsi:type="dcterms:W3CDTF">2026-09-25T20:02:25.554Z</dcterms:created>
  <dcterms:modified xsi:type="dcterms:W3CDTF">2026-09-25T20:02:25.554Z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