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80"/>
      </w:pPr>
      <w:r>
        <w:rPr>
          <w:rFonts w:ascii="Calibri" w:hAnsi="Calibri" w:eastAsia="Microsoft YaHei"/>
          <w:b/>
          <w:color w:val="000000"/>
          <w:sz w:val="46"/>
        </w:rPr>
        <w:t>详细需求设计说明书</w:t>
      </w:r>
    </w:p>
    <w:p>
      <w:pPr>
        <w:spacing w:after="280"/>
      </w:pPr>
      <w:r>
        <w:rPr>
          <w:rFonts w:ascii="Calibri" w:hAnsi="Calibri" w:eastAsia="Microsoft YaHei"/>
          <w:color w:val="373737"/>
          <w:sz w:val="30"/>
        </w:rPr>
        <w:t>施工企业全流程运营托管数字化系统</w:t>
      </w:r>
    </w:p>
    <w:p>
      <w:pPr>
        <w:spacing w:after="40"/>
      </w:pPr>
      <w:r>
        <w:rPr>
          <w:rFonts w:ascii="Calibri" w:hAnsi="Calibri" w:eastAsia="Microsoft YaHei"/>
          <w:b/>
          <w:color w:val="1F1F1F"/>
          <w:sz w:val="22"/>
        </w:rPr>
        <w:t xml:space="preserve">文档版本: </w:t>
      </w:r>
      <w:r>
        <w:rPr>
          <w:rFonts w:ascii="Calibri" w:hAnsi="Calibri" w:eastAsia="Microsoft YaHei"/>
          <w:color w:val="1F1F1F"/>
          <w:sz w:val="22"/>
        </w:rPr>
        <w:t>V1.0</w:t>
      </w:r>
    </w:p>
    <w:p>
      <w:pPr>
        <w:spacing w:after="40"/>
      </w:pPr>
      <w:r>
        <w:rPr>
          <w:rFonts w:ascii="Calibri" w:hAnsi="Calibri" w:eastAsia="Microsoft YaHei"/>
          <w:b/>
          <w:color w:val="1F1F1F"/>
          <w:sz w:val="22"/>
        </w:rPr>
        <w:t xml:space="preserve">依据文档: </w:t>
      </w:r>
      <w:r>
        <w:rPr>
          <w:rFonts w:ascii="Calibri" w:hAnsi="Calibri" w:eastAsia="Microsoft YaHei"/>
          <w:color w:val="1F1F1F"/>
          <w:sz w:val="22"/>
        </w:rPr>
        <w:t>《施工企业全流程运营托管数字化系统_PRD》</w:t>
      </w:r>
    </w:p>
    <w:p>
      <w:pPr>
        <w:spacing w:after="40"/>
      </w:pPr>
      <w:r>
        <w:rPr>
          <w:rFonts w:ascii="Calibri" w:hAnsi="Calibri" w:eastAsia="Microsoft YaHei"/>
          <w:b/>
          <w:color w:val="1F1F1F"/>
          <w:sz w:val="22"/>
        </w:rPr>
        <w:t xml:space="preserve">设计范围: </w:t>
      </w:r>
      <w:r>
        <w:rPr>
          <w:rFonts w:ascii="Calibri" w:hAnsi="Calibri" w:eastAsia="Microsoft YaHei"/>
          <w:color w:val="1F1F1F"/>
          <w:sz w:val="22"/>
        </w:rPr>
        <w:t>业务需求分析、功能设计、数据字段、状态流转、规则预警、权限验收</w:t>
      </w:r>
    </w:p>
    <w:p>
      <w:pPr>
        <w:spacing w:after="40"/>
      </w:pPr>
      <w:r>
        <w:rPr>
          <w:rFonts w:ascii="Calibri" w:hAnsi="Calibri" w:eastAsia="Microsoft YaHei"/>
          <w:b/>
          <w:color w:val="1F1F1F"/>
          <w:sz w:val="22"/>
        </w:rPr>
        <w:t xml:space="preserve">适用对象: </w:t>
      </w:r>
      <w:r>
        <w:rPr>
          <w:rFonts w:ascii="Calibri" w:hAnsi="Calibri" w:eastAsia="Microsoft YaHei"/>
          <w:color w:val="1F1F1F"/>
          <w:sz w:val="22"/>
        </w:rPr>
        <w:t>产品、研发、测试、实施、托管运营团队</w:t>
      </w:r>
    </w:p>
    <w:p>
      <w:pPr>
        <w:spacing w:after="40"/>
      </w:pPr>
      <w:r>
        <w:rPr>
          <w:rFonts w:ascii="Calibri" w:hAnsi="Calibri" w:eastAsia="Microsoft YaHei"/>
          <w:b/>
          <w:color w:val="1F1F1F"/>
          <w:sz w:val="22"/>
        </w:rPr>
        <w:t xml:space="preserve">生成日期: </w:t>
      </w:r>
      <w:r>
        <w:rPr>
          <w:rFonts w:ascii="Calibri" w:hAnsi="Calibri" w:eastAsia="Microsoft YaHei"/>
          <w:color w:val="1F1F1F"/>
          <w:sz w:val="22"/>
        </w:rPr>
        <w:t>2026-06-29</w:t>
      </w:r>
    </w:p>
    <w:p>
      <w:pPr>
        <w:pBdr>
          <w:bottom w:val="single" w:sz="8" w:space="1" w:color="2E74B5"/>
        </w:pBdr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1. 需求分析结论</w:t>
      </w:r>
    </w:p>
    <w:p>
      <w:r>
        <w:rPr>
          <w:rFonts w:ascii="Calibri" w:hAnsi="Calibri" w:eastAsia="Microsoft YaHei"/>
          <w:color w:val="1F1F1F"/>
          <w:sz w:val="22"/>
        </w:rPr>
        <w:t>PRD 中的九大模块本质上不是九个孤立工具，而是一套围绕施工企业经营风险和利润结果构建的全流程管理系统。详细设计应优先保证统一项目主数据、统一文件证据链、统一预警待办、统一权限审计和统一经营指标口径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第一优先级是打通“项目、资料、成本、财税、回款、驾驶舱”的经营闭环，让企业可以实时看见项目是否赚钱、风险在哪里、谁负责处理。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第二优先级是把“资质、人员、投标、劳务法务”纳入准入和风控体系，减少废标、合规处罚、劳资纠纷和合同漏洞。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第三优先级是把“军工保密合规、工程非诉回款、线下托管交付”做成差异化能力，形成标准化服务和高客单价产品壁垒。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2. 设计原则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原则</w:t>
            </w:r>
          </w:p>
        </w:tc>
        <w:tc>
          <w:tcPr>
            <w:tcW w:type="dxa" w:w="7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设计要求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项目为主线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所有业务数据尽量关联项目；非项目型数据也需关联企业主体、责任人和时间。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合规前置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资质、人员、涉密、合同、税务、资料、回款证据在业务动作前进行校验和提示。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风险闭环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所有预警必须有责任人、截止时间、处理记录、关闭条件和升级机制。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证据留存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合同、票据、资料、沟通、送达、审批、导出等关键动作可追溯。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模板驱动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标书、资料、合同、催收文书、报表尽量通过模板中心标准化生产。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权限分层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按企业、项目、角色、数据密级和操作类型控制查看、编辑、导出、审批。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轻量落地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MVP 避免大型 ERP 式复杂配置，优先支持高频、刚需、可量化价值的流程。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3. 用户与使用场景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角色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核心场景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企业老板/董事长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查看经营驾驶舱、审批关键事项、查看涉密/营收核心数据、决策并购与托管方案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总经理/运营负责人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统筹项目、成本、投标、回款、风险预警，查看跨部门报表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项目负责人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维护项目计划、成本执行、资料节点、签证变更、分包进度和现场风险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财务人员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维护项目账本、票据、税费、回款、坏账、财税报表和资金台账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资料员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维护资料模板、阶段资料、竣工组卷、图纸归档和文件流转记录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资质/人事专员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维护资质、人员证书、社保、继续教育、年审延期和升级测算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投标专员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筛选标讯、生成标书、管理保证金、复盘废标/中标数据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法务/清欠专员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维护合同风险、催收文书、沟通日志、证据链、非诉/诉讼回款节点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涉密管理员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管理涉密资质、涉密人员、涉密资料权限、导出打印审批和操作审计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800"/>
        <w:gridCol w:w="2600"/>
        <w:gridCol w:w="496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典型场景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用户目标</w:t>
            </w:r>
          </w:p>
        </w:tc>
        <w:tc>
          <w:tcPr>
            <w:tcW w:type="dxa" w:w="4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系统响应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老板看经营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快速判断哪些项目赚钱、哪些甲方拖欠、哪些风险要处理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驾驶舱聚合利润、回款、资质、财税、投标、风险指标并可下钻。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项目经理控成本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避免支出超预算、分包超付、资料影响结算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预算执行、支出审批、资料预警、分包付款比例联动。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财务做账报税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按项目核算收入成本税费，提前发现税务风险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项目账本、发票校验、税负分析、回款税费、报表生成。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清欠专员催款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持续跟进欠款并保留完整证据链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债权建档、证据完整度、文书生成、送达留痕、沟通日志、回款阶段。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涉密管理员管资料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防止涉密资质和涉密文件失控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涉密资质巡检、密级权限、导出打印审批、全程审计。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4. 公共能力详细设计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700"/>
        <w:gridCol w:w="3150"/>
        <w:gridCol w:w="1750"/>
        <w:gridCol w:w="2760"/>
      </w:tblGrid>
      <w:t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7"/>
              </w:rPr>
              <w:t>公共能力</w:t>
            </w:r>
          </w:p>
        </w:tc>
        <w:tc>
          <w:tcPr>
            <w:tcW w:type="dxa" w:w="3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7"/>
              </w:rPr>
              <w:t>功能说明</w:t>
            </w:r>
          </w:p>
        </w:tc>
        <w:tc>
          <w:tcPr>
            <w:tcW w:type="dxa" w:w="1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7"/>
              </w:rPr>
              <w:t>主要用户</w:t>
            </w:r>
          </w:p>
        </w:tc>
        <w:tc>
          <w:tcPr>
            <w:tcW w:type="dxa" w:w="2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7"/>
              </w:rPr>
              <w:t>设计要点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企业/组织管理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企业主体、分支机构、项目部、合作单位、甲方单位统一维护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企业管理员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为全模块提供组织、项目、合作方主数据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项目中心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统一创建项目，维护项目类型、地域、甲方、合同额、工期、预算、涉密标识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总经理、项目负责人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连接投标、资料、成本、财税、劳务、回款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文件中心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证书、合同、图纸、资料、票据、催收文书、送达凭证统一存储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资料员、法务、财务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支持版本、密级、权限、预览、下载、导出审计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模板中心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资料模板、标书模板、合同模板、催收文书、报表模板配置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业务管理员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减少重复制作，保障交付标准化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预警中心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到期、逾期、超预算、税负异常、资料缺项、涉密操作等风险统一归集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各模块责任人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提供待办、通知、升级、闭环记录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审批流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支出超预算、涉密资料导出、关键合同修改、坏账核销等走审批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审批人、管理员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支持按金额、项目、密级、角色配置流程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消息通知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站内信、短信、微信、邮件等多渠道提醒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全角色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支持模板、频率、免打扰、升级提醒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审计日志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记录登录、查看、下载、导出、删除、审批、权限变更、涉密文件操作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审计员、涉密管理员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用于追责、合规检查和证据留存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4.1 公共数据对象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500"/>
        <w:gridCol w:w="4500"/>
        <w:gridCol w:w="3360"/>
      </w:tblGrid>
      <w:t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对象</w:t>
            </w:r>
          </w:p>
        </w:tc>
        <w:tc>
          <w:tcPr>
            <w:tcW w:type="dxa" w:w="4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关键字段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用途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企业主体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企业名称、统一社会信用代码、资质范围、经营地域、客户等级、信用状态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租户隔离、权限、资质、投标、回款、报告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项目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项目编号、项目类型、地域、甲方、合同额、工期、预算、涉密标识、负责人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全流程主线对象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文件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文件名、类型、版本、密级、所属项目、上传人、审批状态、下载次数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资料、合同、证据、票据、标书统一归档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预警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来源模块、风险等级、触发规则、责任人、截止时间、处理状态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风险闭环与驾驶舱展示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审批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审批类型、发起人、审批人、金额/密级/项目、结果、意见、时间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支出、涉密导出、合同修改、坏账核销等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日志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操作人、操作对象、动作、时间、IP、前后值、结果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审计、追责、合规检查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5. 模块详细需求设计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5.1 资质合规管理（M01）</w:t>
      </w:r>
    </w:p>
    <w:p>
      <w:r>
        <w:rPr>
          <w:rFonts w:ascii="Calibri" w:hAnsi="Calibri" w:eastAsia="Microsoft YaHei"/>
          <w:color w:val="1F1F1F"/>
          <w:sz w:val="22"/>
        </w:rPr>
        <w:t>模块定位：合规准入与资质资产底座。</w:t>
      </w:r>
    </w:p>
    <w:p>
      <w:r>
        <w:rPr>
          <w:rFonts w:ascii="Calibri" w:hAnsi="Calibri" w:eastAsia="Microsoft YaHei"/>
          <w:color w:val="1F1F1F"/>
          <w:sz w:val="22"/>
        </w:rPr>
        <w:t>需求分析：资质、证书、年审、军工保密条件分散管理，导致投标废标、年审遗漏、升级申报缺少数据支撑。本模块需要把线下台账、文件、审批和预警规则产品化，形成可配置、可追溯、可交付的业务闭环。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设计项</w:t>
            </w:r>
          </w:p>
        </w:tc>
        <w:tc>
          <w:tcPr>
            <w:tcW w:type="dxa" w:w="7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详细说明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主要页面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资质总览、资质档案、新增/编辑资质、年审延期待办、升级测算、涉密资质管控、外协单位资质审核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核心流程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建档 -&gt; 核验 -&gt; 设置到期/年审规则 -&gt; 预警 -&gt; 整改闭环 -&gt; 投标/升级准入校验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关键字段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资质类型、证书编号、等级、发证机关、有效期、年审日期、承接范围、地域限制、扫描件、核验状态、密级、责任人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状态流转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草稿、待核验、有效、即将到期、已过期、整改中、停用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业务规则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资质到期前 90/60/30/7 天提醒；过期资质不得用于投标准入；涉密资质缺少人员/场地/制度任一条件时标记为不满足准入。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异常处理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核验接口不可用时允许人工上传核验证明；证书过期后仅允许管理员归档或发起延期流程。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color w:val="1F4D78"/>
          <w:sz w:val="24"/>
        </w:rPr>
        <w:t>5.1.1 功能点详细设计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050"/>
        <w:gridCol w:w="1050"/>
        <w:gridCol w:w="1450"/>
        <w:gridCol w:w="2600"/>
        <w:gridCol w:w="2050"/>
        <w:gridCol w:w="1160"/>
      </w:tblGrid>
      <w:tr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编号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场景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功能点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需求描述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系统处理</w:t>
            </w:r>
          </w:p>
        </w:tc>
        <w:tc>
          <w:tcPr>
            <w:tcW w:type="dxa" w:w="1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验收标准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M01-DR-01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新增/维护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资质资产总台账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资质资产总台账：建筑施工资质、安许证、劳务资质、军工二级保密资质、涉密信息集成资质、特种作业资质统一建档。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M01-DR-02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查询/筛选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证书原件扫描、线上真伪核验、到期倒计时、等级/承接范围/地域限制智能标注。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证书原件扫描、线上真伪核验、到期倒计时、等级/承接范围/地域限制智能标注。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M01-DR-03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规则校验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年审、延期、抽查、公示、信用扣分、黑名单、企业异常信息预警。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年审、延期、抽查、公示、信用扣分、黑名单、企业异常信息预警。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M01-DR-04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预警/待办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资质升级、增项、并购/分立/转让测算，输出业绩、人员、设备、场地缺口和整改清单。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资质升级、增项、并购/分立/转让测算，输出业绩、人员、设备、场地缺口和整改清单。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M01-DR-05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导出/报表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涉密资质专属管控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涉密资质专属管控：政审、社保、培训、场地、保密设备、制度、外协单位资质审核。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M01-DR-99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模块联动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跨模块数据同步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与项目中心、文件中心、预警中心、审计日志联动；核心对象包括：资质证书、企业主体、人员证书、业绩、设备、场地、保密制度、外协单位、预警事件。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系统按项目、企业、角色、密级过滤数据，并将风险事件推送至责任人。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跨模块字段口径一致；预警可闭环；日志可检索。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color w:val="1F4D78"/>
          <w:sz w:val="24"/>
        </w:rPr>
        <w:t>5.1.2 字段与权限补充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1200"/>
        <w:gridCol w:w="386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字段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类型说明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是否必填</w:t>
            </w:r>
          </w:p>
        </w:tc>
        <w:tc>
          <w:tcPr>
            <w:tcW w:type="dxa" w:w="3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控制要求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资质类型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证书编号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等级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发证机关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有效期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年审日期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承接范围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地域限制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扫描件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核验状态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密级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责任人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5.2 财税风控管理（M02）</w:t>
      </w:r>
    </w:p>
    <w:p>
      <w:r>
        <w:rPr>
          <w:rFonts w:ascii="Calibri" w:hAnsi="Calibri" w:eastAsia="Microsoft YaHei"/>
          <w:color w:val="1F1F1F"/>
          <w:sz w:val="22"/>
        </w:rPr>
        <w:t>模块定位：项目账本与税务风险闭环。</w:t>
      </w:r>
    </w:p>
    <w:p>
      <w:r>
        <w:rPr>
          <w:rFonts w:ascii="Calibri" w:hAnsi="Calibri" w:eastAsia="Microsoft YaHei"/>
          <w:color w:val="1F1F1F"/>
          <w:sz w:val="22"/>
        </w:rPr>
        <w:t>需求分析：工程款、材料款、劳务费混账，无票支出和税负异常难以前置发现，项目盈亏只能事后核算。本模块需要把线下台账、文件、审批和预警规则产品化，形成可配置、可追溯、可交付的业务闭环。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设计项</w:t>
            </w:r>
          </w:p>
        </w:tc>
        <w:tc>
          <w:tcPr>
            <w:tcW w:type="dxa" w:w="7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详细说明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主要页面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项目账本、收支流水、发票管理、税负预警、回款税费测算、利润表、财税体检报告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核心流程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项目建账 -&gt; 录入/导入收支与票据 -&gt; 规则校验 -&gt; 风险预警 -&gt; 调整/补票 -&gt; 出具报表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关键字段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项目、收支类型、金额、税率、发票号、开票方、收票方、计税方式、付款日期、凭证附件、核销状态、风险标签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状态流转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待入账、已入账、待补票、异常、待核销、已核销、已归档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业务规则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无票支出超过项目支出阈值触发风险；发票主体与合同主体不一致时提示复核；坏账核销必须走审批。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异常处理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历史项目允许补录期初数据；税务规则无法自动判断时进入人工复核池。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color w:val="1F4D78"/>
          <w:sz w:val="24"/>
        </w:rPr>
        <w:t>5.2.1 功能点详细设计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050"/>
        <w:gridCol w:w="1050"/>
        <w:gridCol w:w="1450"/>
        <w:gridCol w:w="2600"/>
        <w:gridCol w:w="2050"/>
        <w:gridCol w:w="1160"/>
      </w:tblGrid>
      <w:tr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编号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场景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功能点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需求描述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系统处理</w:t>
            </w:r>
          </w:p>
        </w:tc>
        <w:tc>
          <w:tcPr>
            <w:tcW w:type="dxa" w:w="1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验收标准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M02-DR-01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新增/维护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一项目一账本，独立核算收入、直接成本、规费、税费、净利润。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一项目一账本，独立核算收入、直接成本、规费、税费、净利润。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M02-DR-02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查询/筛选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垫资、逾期利息、违约补偿、质保金、坏账、欠款核销专项记账。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垫资、逾期利息、违约补偿、质保金、坏账、欠款核销专项记账。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M02-DR-03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规则校验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无票支出、发票真伪异常、税负率超标、异地施工预缴、简易计税、分包差额计税自动校验。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无票支出、发票真伪异常、税负率超标、异地施工预缴、简易计税、分包差额计税自动校验。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M02-DR-04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预警/待办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非诉/诉讼回款专项资金台账，回款税费自动测算。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非诉/诉讼回款专项资金台账，回款税费自动测算。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M02-DR-05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导出/报表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单项目利润表、企业盈亏报表、税负分析、财税合规体检报告自动生成。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单项目利润表、企业盈亏报表、税负分析、财税合规体检报告自动生成。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M02-DR-99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模块联动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跨模块数据同步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与项目中心、文件中心、预警中心、审计日志联动；核心对象包括：项目账本、收支流水、发票、税费规则、回款记录、坏账记录、报表。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系统按项目、企业、角色、密级过滤数据，并将风险事件推送至责任人。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跨模块字段口径一致；预警可闭环；日志可检索。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color w:val="1F4D78"/>
          <w:sz w:val="24"/>
        </w:rPr>
        <w:t>5.2.2 字段与权限补充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1200"/>
        <w:gridCol w:w="386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字段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类型说明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是否必填</w:t>
            </w:r>
          </w:p>
        </w:tc>
        <w:tc>
          <w:tcPr>
            <w:tcW w:type="dxa" w:w="3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控制要求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项目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收支类型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金额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税率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发票号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开票方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收票方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计税方式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付款日期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凭证附件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核销状态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风险标签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5.3 招投标全过程管理（M03）</w:t>
      </w:r>
    </w:p>
    <w:p>
      <w:r>
        <w:rPr>
          <w:rFonts w:ascii="Calibri" w:hAnsi="Calibri" w:eastAsia="Microsoft YaHei"/>
          <w:color w:val="1F1F1F"/>
          <w:sz w:val="22"/>
        </w:rPr>
        <w:t>模块定位：机会发现、标书生产与投标复盘。</w:t>
      </w:r>
    </w:p>
    <w:p>
      <w:r>
        <w:rPr>
          <w:rFonts w:ascii="Calibri" w:hAnsi="Calibri" w:eastAsia="Microsoft YaHei"/>
          <w:color w:val="1F1F1F"/>
          <w:sz w:val="22"/>
        </w:rPr>
        <w:t>需求分析：标讯分散、资料匹配易错、保证金无人跟进、废标原因缺少复盘，涉密投标资料缺少权限管控。本模块需要把线下台账、文件、审批和预警规则产品化，形成可配置、可追溯、可交付的业务闭环。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设计项</w:t>
            </w:r>
          </w:p>
        </w:tc>
        <w:tc>
          <w:tcPr>
            <w:tcW w:type="dxa" w:w="7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详细说明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主要页面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标讯列表、智能匹配、投标项目看板、标书模板库、保证金台账、废标复盘、涉密投标资料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核心流程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抓取标讯 -&gt; 匹配资质/地域/业绩 -&gt; 立项投标 -&gt; 生成标书 -&gt; 跟踪节点 -&gt; 开标复盘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关键字段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公告来源、项目类型、地域、资质要求、报名截止、开标时间、保证金金额、投标状态、废标原因、竞品信息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状态流转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待评估、可投、不可投、报名中、标书制作中、已投标、已中标、未中标、废标、归档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业务规则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资质/人员/业绩不满足时默认不可投；保证金到期未退回自动升级提醒；涉密项目资料必须按密级授权。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异常处理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公告解析失败时允许手工录入；投标截止后禁止修改关键投标节点，仅允许补充复盘信息。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color w:val="1F4D78"/>
          <w:sz w:val="24"/>
        </w:rPr>
        <w:t>5.3.1 功能点详细设计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050"/>
        <w:gridCol w:w="1050"/>
        <w:gridCol w:w="1450"/>
        <w:gridCol w:w="2600"/>
        <w:gridCol w:w="2050"/>
        <w:gridCol w:w="1160"/>
      </w:tblGrid>
      <w:tr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编号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场景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功能点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需求描述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系统处理</w:t>
            </w:r>
          </w:p>
        </w:tc>
        <w:tc>
          <w:tcPr>
            <w:tcW w:type="dxa" w:w="1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验收标准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M03-DR-01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新增/维护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全网标讯抓取，覆盖房建、市政、公路、政府采购、军工涉密项目。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全网标讯抓取，覆盖房建、市政、公路、政府采购、军工涉密项目。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M03-DR-02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查询/筛选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按资质等级、经营范围、地域和项目类型筛选可投项目并推送。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按资质等级、经营范围、地域和项目类型筛选可投项目并推送。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M03-DR-03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规则校验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民用建筑、市政、机电、军工涉密工程标书模板库，人员/资质/业绩一键填充。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民用建筑、市政、机电、军工涉密工程标书模板库，人员/资质/业绩一键填充。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M03-DR-04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预警/待办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报名、购标、答疑、开标、保证金、履约保证金全流程节点跟踪。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报名、购标、答疑、开标、保证金、履约保证金全流程节点跟踪。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M03-DR-05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导出/报表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废标原因归档、中标率、竞品投标数据分析，涉密投标资料加密存储和分级授权。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废标原因归档、中标率、竞品投标数据分析，涉密投标资料加密存储和分级授权。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M03-DR-99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模块联动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跨模块数据同步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与项目中心、文件中心、预警中心、审计日志联动；核心对象包括：标讯、投标项目、标书模板、企业资料、保证金、竞品记录、废标原因。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系统按项目、企业、角色、密级过滤数据，并将风险事件推送至责任人。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跨模块字段口径一致；预警可闭环；日志可检索。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color w:val="1F4D78"/>
          <w:sz w:val="24"/>
        </w:rPr>
        <w:t>5.3.2 字段与权限补充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1200"/>
        <w:gridCol w:w="386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字段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类型说明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是否必填</w:t>
            </w:r>
          </w:p>
        </w:tc>
        <w:tc>
          <w:tcPr>
            <w:tcW w:type="dxa" w:w="3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控制要求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公告来源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项目类型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地域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资质要求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报名截止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开标时间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保证金金额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投标状态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废标原因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竞品信息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5.4 工程资料全生命周期管理（M04）</w:t>
      </w:r>
    </w:p>
    <w:p>
      <w:r>
        <w:rPr>
          <w:rFonts w:ascii="Calibri" w:hAnsi="Calibri" w:eastAsia="Microsoft YaHei"/>
          <w:color w:val="1F1F1F"/>
          <w:sz w:val="22"/>
        </w:rPr>
        <w:t>模块定位：资料模板、过程留痕与竣工组卷。</w:t>
      </w:r>
    </w:p>
    <w:p>
      <w:r>
        <w:rPr>
          <w:rFonts w:ascii="Calibri" w:hAnsi="Calibri" w:eastAsia="Microsoft YaHei"/>
          <w:color w:val="1F1F1F"/>
          <w:sz w:val="22"/>
        </w:rPr>
        <w:t>需求分析：施工资料纸质零散，签证/变更/隐蔽资料滞后，竣工组卷工作量大，涉密图纸泄露风险高。本模块需要把线下台账、文件、审批和预警规则产品化，形成可配置、可追溯、可交付的业务闭环。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设计项</w:t>
            </w:r>
          </w:p>
        </w:tc>
        <w:tc>
          <w:tcPr>
            <w:tcW w:type="dxa" w:w="7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详细说明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主要页面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资料计划、资料模板库、项目资料目录、签证变更、图纸档案、竣工组卷、涉密资料审批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核心流程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项目阶段计划 -&gt; 自动生成资料清单 -&gt; 上传/填报 -&gt; 审核 -&gt; 缺项预警 -&gt; 组卷导出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关键字段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资料类型、专业、项目阶段、文件版本、上传人、审核人、密级、关联签证/变更、截止日期、组卷位置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状态流转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待上传、待审核、需退回、已通过、缺项、已组卷、已归档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业务规则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阶段资料逾期未上传生成待办；签证/变更资料缺失时在结算和回款模块标记证据不足。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异常处理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大文件上传失败需保留断点记录；涉密文件禁止普通下载，需审批后限时访问。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color w:val="1F4D78"/>
          <w:sz w:val="24"/>
        </w:rPr>
        <w:t>5.4.1 功能点详细设计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050"/>
        <w:gridCol w:w="1050"/>
        <w:gridCol w:w="1450"/>
        <w:gridCol w:w="2600"/>
        <w:gridCol w:w="2050"/>
        <w:gridCol w:w="1160"/>
      </w:tblGrid>
      <w:tr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编号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场景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功能点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需求描述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系统处理</w:t>
            </w:r>
          </w:p>
        </w:tc>
        <w:tc>
          <w:tcPr>
            <w:tcW w:type="dxa" w:w="1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验收标准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M04-DR-01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新增/维护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开工报审、施工记录、隐蔽验收、现场签证、设计变更、竣工验收模板库。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开工报审、施工记录、隐蔽验收、现场签证、设计变更、竣工验收模板库。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M04-DR-02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查询/筛选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按土建、市政、机电、军工涉密工程区分专业资料模板。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按土建、市政、机电、军工涉密工程区分专业资料模板。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M04-DR-03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规则校验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施工计划联动资料填报提醒，签证和变更逾期未上传预警。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施工计划联动资料填报提醒，签证和变更逾期未上传预警。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M04-DR-04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预警/待办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资料云端加密存储，上传、下载、转发、打印全程日志留痕。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资料云端加密存储，上传、下载、转发、打印全程日志留痕。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M04-DR-05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导出/报表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竣工资料一键组卷，支持 PDF、CAD 图纸批量导出归档，涉密文件分级管控。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竣工资料一键组卷，支持 PDF、CAD 图纸批量导出归档，涉密文件分级管控。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M04-DR-99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模块联动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跨模块数据同步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与项目中心、文件中心、预警中心、审计日志联动；核心对象包括：资料模板、项目阶段、工程文件、签证单、变更单、图纸、操作日志、组卷包。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系统按项目、企业、角色、密级过滤数据，并将风险事件推送至责任人。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跨模块字段口径一致；预警可闭环；日志可检索。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color w:val="1F4D78"/>
          <w:sz w:val="24"/>
        </w:rPr>
        <w:t>5.4.2 字段与权限补充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1200"/>
        <w:gridCol w:w="386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字段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类型说明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是否必填</w:t>
            </w:r>
          </w:p>
        </w:tc>
        <w:tc>
          <w:tcPr>
            <w:tcW w:type="dxa" w:w="3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控制要求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资料类型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专业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项目阶段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文件版本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上传人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审核人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密级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关联签证/变更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截止日期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组卷位置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5.5 项目成本精准管控（M05）</w:t>
      </w:r>
    </w:p>
    <w:p>
      <w:r>
        <w:rPr>
          <w:rFonts w:ascii="Calibri" w:hAnsi="Calibri" w:eastAsia="Microsoft YaHei"/>
          <w:color w:val="1F1F1F"/>
          <w:sz w:val="22"/>
        </w:rPr>
        <w:t>模块定位：盈利核心与预算执行控制。</w:t>
      </w:r>
    </w:p>
    <w:p>
      <w:r>
        <w:rPr>
          <w:rFonts w:ascii="Calibri" w:hAnsi="Calibri" w:eastAsia="Microsoft YaHei"/>
          <w:color w:val="1F1F1F"/>
          <w:sz w:val="22"/>
        </w:rPr>
        <w:t>需求分析：事前预算不准、事中支出失控、分包超付、材料浪费、机械闲置、垫资资金成本无法核算。本模块需要把线下台账、文件、审批和预警规则产品化，形成可配置、可追溯、可交付的业务闭环。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设计项</w:t>
            </w:r>
          </w:p>
        </w:tc>
        <w:tc>
          <w:tcPr>
            <w:tcW w:type="dxa" w:w="7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详细说明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主要页面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项目预算、成本执行、支出申请、材料领用、机械台班、分包结算、付款预警、真实利润核算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核心流程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预算编制 -&gt; 成本科目下达 -&gt; 支出/领用/台班/考勤归集 -&gt; 偏差预警 -&gt; 审批 -&gt; 利润核算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关键字段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成本科目、预算金额、已发生金额、申请金额、供应商/分包商、合同进度、付款比例、资金占用天数、利率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状态流转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预算草稿、已发布、执行中、超预算、待审批、已付款、已结算、已关闭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业务规则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支出超过预算或付款超过进度必须二次审批；资金占用成本按垫资金额、占用天数和配置利率计算。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异常处理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紧急支出允许先登记后补审批，但必须进入异常清单；预算调整需记录版本差异。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color w:val="1F4D78"/>
          <w:sz w:val="24"/>
        </w:rPr>
        <w:t>5.5.1 功能点详细设计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050"/>
        <w:gridCol w:w="1050"/>
        <w:gridCol w:w="1450"/>
        <w:gridCol w:w="2600"/>
        <w:gridCol w:w="2050"/>
        <w:gridCol w:w="1160"/>
      </w:tblGrid>
      <w:tr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编号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场景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功能点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需求描述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系统处理</w:t>
            </w:r>
          </w:p>
        </w:tc>
        <w:tc>
          <w:tcPr>
            <w:tcW w:type="dxa" w:w="1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验收标准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M05-DR-01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新增/维护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人工费、材料费、机械费、管理费、规费、税金一键预算，普通/军工项目差异化模板。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人工费、材料费、机械费、管理费、规费、税金一键预算，普通/军工项目差异化模板。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M05-DR-02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查询/筛选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每笔支出对标预算，超预算触发预警和二次审批。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每笔支出对标预算，超预算触发预警和二次审批。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M05-DR-03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规则校验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材料领用、机械台班、工人考勤自动联动项目成本。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材料领用、机械台班、工人考勤自动联动项目成本。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M05-DR-04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预警/待办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分包合同、月度结算、付款记录闭环台账，识别超进度付款和重复结算。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分包合同、月度结算、付款记录闭环台账，识别超进度付款和重复结算。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M05-DR-05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导出/报表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自动计算垫资时长、资金占用利息、回款滞后成本，核算项目真实净利润。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自动计算垫资时长、资金占用利息、回款滞后成本，核算项目真实净利润。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M05-DR-99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模块联动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跨模块数据同步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与项目中心、文件中心、预警中心、审计日志联动；核心对象包括：预算、成本科目、支出单、材料领用、机械台班、考勤、分包合同、付款、利润模型。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系统按项目、企业、角色、密级过滤数据，并将风险事件推送至责任人。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跨模块字段口径一致；预警可闭环；日志可检索。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color w:val="1F4D78"/>
          <w:sz w:val="24"/>
        </w:rPr>
        <w:t>5.5.2 字段与权限补充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1200"/>
        <w:gridCol w:w="386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字段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类型说明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是否必填</w:t>
            </w:r>
          </w:p>
        </w:tc>
        <w:tc>
          <w:tcPr>
            <w:tcW w:type="dxa" w:w="3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控制要求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成本科目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预算金额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已发生金额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申请金额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供应商/分包商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合同进度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付款比例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资金占用天数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利率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5.6 劳务与法务一体化（M06）</w:t>
      </w:r>
    </w:p>
    <w:p>
      <w:r>
        <w:rPr>
          <w:rFonts w:ascii="Calibri" w:hAnsi="Calibri" w:eastAsia="Microsoft YaHei"/>
          <w:color w:val="1F1F1F"/>
          <w:sz w:val="22"/>
        </w:rPr>
        <w:t>模块定位：现场用工合规、合同风控与证据链。</w:t>
      </w:r>
    </w:p>
    <w:p>
      <w:r>
        <w:rPr>
          <w:rFonts w:ascii="Calibri" w:hAnsi="Calibri" w:eastAsia="Microsoft YaHei"/>
          <w:color w:val="1F1F1F"/>
          <w:sz w:val="22"/>
        </w:rPr>
        <w:t>需求分析：实名制、考勤、工资、工伤保险和合同条款缺失，导致劳资纠纷、工伤赔付和维权困难。本模块需要把线下台账、文件、审批和预警规则产品化，形成可配置、可追溯、可交付的业务闭环。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设计项</w:t>
            </w:r>
          </w:p>
        </w:tc>
        <w:tc>
          <w:tcPr>
            <w:tcW w:type="dxa" w:w="7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详细说明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主要页面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工人档案、实名制考勤、劳动合同、保险台账、工资发放、工程合同风控、纠纷证据链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核心流程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人员入场 -&gt; 实名建档 -&gt; 合同/保险校验 -&gt; 考勤 -&gt; 工资生成 -&gt; 风险预警 -&gt; 证据归档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关键字段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姓名、身份证、班组、工种、入场日期、合同状态、保险到期、考勤记录、工资金额、代发流水、风险条款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状态流转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待入场、在场、离场、合同缺失、保险缺失、工资待发、已发放、纠纷预警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业务规则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无劳动合同或工伤保险缺失时提示高风险；工资发放需关联合同、考勤、银行流水和公示记录。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异常处理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人脸识别失败时允许人工补卡并留痕；合同风险识别结果需支持法务人工确认。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color w:val="1F4D78"/>
          <w:sz w:val="24"/>
        </w:rPr>
        <w:t>5.6.1 功能点详细设计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050"/>
        <w:gridCol w:w="1050"/>
        <w:gridCol w:w="1450"/>
        <w:gridCol w:w="2600"/>
        <w:gridCol w:w="2050"/>
        <w:gridCol w:w="1160"/>
      </w:tblGrid>
      <w:tr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编号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场景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功能点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需求描述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系统处理</w:t>
            </w:r>
          </w:p>
        </w:tc>
        <w:tc>
          <w:tcPr>
            <w:tcW w:type="dxa" w:w="1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验收标准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M06-DR-01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新增/维护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工人信息建档、人脸识别考勤、班组管理、电子劳动合同签署。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工人信息建档、人脸识别考勤、班组管理、电子劳动合同签署。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M06-DR-02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查询/筛选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工伤保险到期提醒，工资台账、银行代发记录、工资公示表一键生成。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工伤保险到期提醒，工资台账、银行代发记录、工资公示表一键生成。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M06-DR-03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规则校验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总包、分包、材料采购、劳务用工标准合同模板。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总包、分包、材料采购、劳务用工标准合同模板。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M06-DR-04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预警/待办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合同霸王条款、付款违约、工期漏洞智能识别并标注。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合同霸王条款、付款违约、工期漏洞智能识别并标注。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M06-DR-05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导出/报表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工期逾期、甲方付款逾期、违约行为自动记录，提前预警纠纷并留存证据链。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工期逾期、甲方付款逾期、违约行为自动记录，提前预警纠纷并留存证据链。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M06-DR-99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模块联动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跨模块数据同步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与项目中心、文件中心、预警中心、审计日志联动；核心对象包括：工人、班组、考勤、劳动合同、保险、工资单、工程合同、风险条款、证据。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系统按项目、企业、角色、密级过滤数据，并将风险事件推送至责任人。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跨模块字段口径一致；预警可闭环；日志可检索。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color w:val="1F4D78"/>
          <w:sz w:val="24"/>
        </w:rPr>
        <w:t>5.6.2 字段与权限补充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1200"/>
        <w:gridCol w:w="386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字段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类型说明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是否必填</w:t>
            </w:r>
          </w:p>
        </w:tc>
        <w:tc>
          <w:tcPr>
            <w:tcW w:type="dxa" w:w="3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控制要求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姓名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身份证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班组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工种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入场日期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合同状态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保险到期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考勤记录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工资金额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代发流水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风险条款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5.7 工程回款清欠专项（M07）</w:t>
      </w:r>
    </w:p>
    <w:p>
      <w:r>
        <w:rPr>
          <w:rFonts w:ascii="Calibri" w:hAnsi="Calibri" w:eastAsia="Microsoft YaHei"/>
          <w:color w:val="1F1F1F"/>
          <w:sz w:val="22"/>
        </w:rPr>
        <w:t>模块定位：债权建档、非诉催收与回款经营分析。</w:t>
      </w:r>
    </w:p>
    <w:p>
      <w:r>
        <w:rPr>
          <w:rFonts w:ascii="Calibri" w:hAnsi="Calibri" w:eastAsia="Microsoft YaHei"/>
          <w:color w:val="1F1F1F"/>
          <w:sz w:val="22"/>
        </w:rPr>
        <w:t>需求分析：进度款、尾款、质保金、垫资款证据分散，线下催收无流程、无记录、无策略，坏账率高。本模块需要把线下台账、文件、审批和预警规则产品化，形成可配置、可追溯、可交付的业务闭环。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设计项</w:t>
            </w:r>
          </w:p>
        </w:tc>
        <w:tc>
          <w:tcPr>
            <w:tcW w:type="dxa" w:w="7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详细说明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主要页面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债权总览、债权档案、证据链、催收计划、文书生成、沟通日志、回款进度、甲方信用评级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核心流程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债权建档 -&gt; 证据完整度评估 -&gt; 分级 -&gt; 制定催收计划 -&gt; 文书/谈判/对账 -&gt; 回款/核销 -&gt; 复盘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关键字段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欠款类型、欠款金额、逾期天数、甲方主体、合同编号、证据清单、催收阶段、送达凭证、回款金额、信用分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状态流转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正常回款、逾期、呆滞、坏账风险、非诉处理中、诉讼处理中、部分回款、已结清、已核销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业务规则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逾期天数和金额达到阈值自动升级；证据完整度低于阈值时不得进入律师函节点；回款需同步财税台账。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异常处理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历史债权允许批量导入；缺少证据的债权进入补证任务，不直接标记为可诉。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color w:val="1F4D78"/>
          <w:sz w:val="24"/>
        </w:rPr>
        <w:t>5.7.1 功能点详细设计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050"/>
        <w:gridCol w:w="1050"/>
        <w:gridCol w:w="1450"/>
        <w:gridCol w:w="2600"/>
        <w:gridCol w:w="2050"/>
        <w:gridCol w:w="1160"/>
      </w:tblGrid>
      <w:tr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编号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场景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功能点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需求描述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系统处理</w:t>
            </w:r>
          </w:p>
        </w:tc>
        <w:tc>
          <w:tcPr>
            <w:tcW w:type="dxa" w:w="1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验收标准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M07-DR-01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新增/维护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进度款、竣工尾款、质保金、垫资款、逾期利息、违约金债权统一建档。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进度款、竣工尾款、质保金、垫资款、逾期利息、违约金债权统一建档。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M07-DR-02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查询/筛选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关联合同、竣工验收单、签证单、结算书、沟通记录和送达凭证。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关联合同、竣工验收单、签证单、结算书、沟通记录和送达凭证。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M07-DR-03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规则校验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按金额、逾期时长、甲方信用分级为正常回款、呆滞账款、坏账。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按金额、逾期时长、甲方信用分级为正常回款、呆滞账款、坏账。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M07-DR-04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预警/待办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催告函、律师函标准化生成，商务谈判、对账、沟通日志全程存档。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催告函、律师函标准化生成，商务谈判、对账、沟通日志全程存档。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M07-DR-05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导出/报表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回款成功率、平均回款周期、坏账率、甲方信用评级和后续合作风险自动分析。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回款成功率、平均回款周期、坏账率、甲方信用评级和后续合作风险自动分析。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M07-DR-99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模块联动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跨模块数据同步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与项目中心、文件中心、预警中心、审计日志联动；核心对象包括：债权、欠款主体、合同证据、催收文书、送达凭证、沟通日志、回款计划、信用评级。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系统按项目、企业、角色、密级过滤数据，并将风险事件推送至责任人。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跨模块字段口径一致；预警可闭环；日志可检索。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color w:val="1F4D78"/>
          <w:sz w:val="24"/>
        </w:rPr>
        <w:t>5.7.2 字段与权限补充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1200"/>
        <w:gridCol w:w="386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字段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类型说明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是否必填</w:t>
            </w:r>
          </w:p>
        </w:tc>
        <w:tc>
          <w:tcPr>
            <w:tcW w:type="dxa" w:w="3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控制要求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欠款类型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欠款金额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逾期天数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甲方主体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合同编号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证据清单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催收阶段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送达凭证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回款金额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信用分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5.8 企业数字化驾驶舱（M08）</w:t>
      </w:r>
    </w:p>
    <w:p>
      <w:r>
        <w:rPr>
          <w:rFonts w:ascii="Calibri" w:hAnsi="Calibri" w:eastAsia="Microsoft YaHei"/>
          <w:color w:val="1F1F1F"/>
          <w:sz w:val="22"/>
        </w:rPr>
        <w:t>模块定位：老板视角的经营总控中心。</w:t>
      </w:r>
    </w:p>
    <w:p>
      <w:r>
        <w:rPr>
          <w:rFonts w:ascii="Calibri" w:hAnsi="Calibri" w:eastAsia="Microsoft YaHei"/>
          <w:color w:val="1F1F1F"/>
          <w:sz w:val="22"/>
        </w:rPr>
        <w:t>需求分析：负责人无法统一查看项目、资金、资质、风险、投标、回款、经营报告，决策依赖经验。本模块需要把线下台账、文件、审批和预警规则产品化，形成可配置、可追溯、可交付的业务闭环。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设计项</w:t>
            </w:r>
          </w:p>
        </w:tc>
        <w:tc>
          <w:tcPr>
            <w:tcW w:type="dxa" w:w="7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详细说明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主要页面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经营总览、项目看板、资金看板、风险看板、回款看板、投标看板、经营报告、权限配置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核心流程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跨模块数据汇总 -&gt; 指标计算 -&gt; 权限过滤 -&gt; 可视化展示 -&gt; 报告生成 -&gt; 经营建议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关键字段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项目数、合同额、收入、成本、利润、待回款、垫资额、坏账风险、资质预警、税务预警、中标率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状态流转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正常、关注、预警、高风险、已闭环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业务规则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驾驶舱指标必须可追溯到明细；高层数据按角色和数据密级过滤；报告生成保留版本。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异常处理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来源模块数据缺失时显示口径说明；报表计算失败需提示责任模块和缺失字段。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color w:val="1F4D78"/>
          <w:sz w:val="24"/>
        </w:rPr>
        <w:t>5.8.1 功能点详细设计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050"/>
        <w:gridCol w:w="1050"/>
        <w:gridCol w:w="1450"/>
        <w:gridCol w:w="2600"/>
        <w:gridCol w:w="2050"/>
        <w:gridCol w:w="1160"/>
      </w:tblGrid>
      <w:tr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编号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场景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功能点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需求描述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系统处理</w:t>
            </w:r>
          </w:p>
        </w:tc>
        <w:tc>
          <w:tcPr>
            <w:tcW w:type="dxa" w:w="1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验收标准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M08-DR-01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新增/维护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展示在建项目、待回款金额、资质到期预警、财税风险、项目中标率。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展示在建项目、待回款金额、资质到期预警、财税风险、项目中标率。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M08-DR-02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查询/筛选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资金流水、垫资总额、坏账风险、盈利/亏损项目、高风险甲方可视化。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资金流水、垫资总额、坏账风险、盈利/亏损项目、高风险甲方可视化。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M08-DR-03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规则校验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月度、季度、年度经营分析报告自动生成。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月度、季度、年度经营分析报告自动生成。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M08-DR-04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预警/待办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按企业老板、总经理、项目负责人、财务、资料员等角色分级权限。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按企业老板、总经理、项目负责人、财务、资料员等角色分级权限。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M08-DR-05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导出/报表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涉密项目数据和企业营收核心数据独立加密隔离。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涉密项目数据和企业营收核心数据独立加密隔离。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M08-DR-99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模块联动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跨模块数据同步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与项目中心、文件中心、预警中心、审计日志联动；核心对象包括：经营指标、项目汇总、资金汇总、风险事件、分析报告、角色权限、数据看板。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系统按项目、企业、角色、密级过滤数据，并将风险事件推送至责任人。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跨模块字段口径一致；预警可闭环；日志可检索。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color w:val="1F4D78"/>
          <w:sz w:val="24"/>
        </w:rPr>
        <w:t>5.8.2 字段与权限补充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1200"/>
        <w:gridCol w:w="386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字段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类型说明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是否必填</w:t>
            </w:r>
          </w:p>
        </w:tc>
        <w:tc>
          <w:tcPr>
            <w:tcW w:type="dxa" w:w="3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控制要求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项目数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合同额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收入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成本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利润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待回款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垫资额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坏账风险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资质预警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税务预警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中标率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5.9 人员体系与资质升级并购托管（M09）</w:t>
      </w:r>
    </w:p>
    <w:p>
      <w:r>
        <w:rPr>
          <w:rFonts w:ascii="Calibri" w:hAnsi="Calibri" w:eastAsia="Microsoft YaHei"/>
          <w:color w:val="1F1F1F"/>
          <w:sz w:val="22"/>
        </w:rPr>
        <w:t>模块定位：人员证书资产、升级测算与并购迁移。</w:t>
      </w:r>
    </w:p>
    <w:p>
      <w:r>
        <w:rPr>
          <w:rFonts w:ascii="Calibri" w:hAnsi="Calibri" w:eastAsia="Microsoft YaHei"/>
          <w:color w:val="1F1F1F"/>
          <w:sz w:val="22"/>
        </w:rPr>
        <w:t>需求分析：建造师、八大员、技工、特种工、涉密人员证书和社保注册流程混乱，升级/并购缺少资产盘点。本模块需要把线下台账、文件、审批和预警规则产品化，形成可配置、可追溯、可交付的业务闭环。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设计项</w:t>
            </w:r>
          </w:p>
        </w:tc>
        <w:tc>
          <w:tcPr>
            <w:tcW w:type="dxa" w:w="7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详细说明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主要页面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人员证书台账、社保注册、继续教育、升级测算、补人清单、并购体检、数据迁移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核心流程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人员建档 -&gt; 证书/社保/继续教育维护 -&gt; 对照资质标准测算 -&gt; 输出缺口 -&gt; 补充/迁移/重建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关键字段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人员类型、证书编号、专业、等级、注册单位、有效期、社保状态、继续教育状态、资质标准、缺口数量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状态流转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有效、即将到期、已过期、待注册、社保异常、继续教育待办、补充中、已满足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业务规则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人员证书到期前提醒；注册单位不一致或社保异常时不得计入升级可用人员；并购迁移必须校验重复人员。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异常处理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外部人员临时借用需标记风险；并购历史数据不完整时形成尽调问题清单。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color w:val="1F4D78"/>
          <w:sz w:val="24"/>
        </w:rPr>
        <w:t>5.9.1 功能点详细设计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050"/>
        <w:gridCol w:w="1050"/>
        <w:gridCol w:w="1450"/>
        <w:gridCol w:w="2600"/>
        <w:gridCol w:w="2050"/>
        <w:gridCol w:w="1160"/>
      </w:tblGrid>
      <w:tr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编号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场景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功能点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需求描述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系统处理</w:t>
            </w:r>
          </w:p>
        </w:tc>
        <w:tc>
          <w:tcPr>
            <w:tcW w:type="dxa" w:w="1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5"/>
              </w:rPr>
              <w:t>验收标准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M09-DR-01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新增/维护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建造师、职称人员、技工、特种工、涉密专职保密人员统一建档。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建造师、职称人员、技工、特种工、涉密专职保密人员统一建档。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M09-DR-02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查询/筛选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证书注册到期、继续教育、证件有效期、社保合规自动预警。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证书注册到期、继续教育、证件有效期、社保合规自动预警。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M09-DR-03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规则校验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按资质升级标准自动核算人员专业、数量、业绩缺口。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按资质升级标准自动核算人员专业、数量、业绩缺口。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M09-DR-04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预警/待办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跟踪证书聘用、人员补充、资料补录进度，输出补人清单。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跟踪证书聘用、人员补充、资料补录进度，输出补人清单。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M09-DR-05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导出/报表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并购前资质、人员、业绩、财税、欠款风险线上体检，并购后数据迁移和体系重建。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并购前资质、人员、业绩、财税、欠款风险线上体检，并购后数据迁移和体系重建。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用户提交数据后，系统校验必填项、权限、状态和业务规则；通过后保存并写入日志，异常时返回原因。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功能可完成端到端操作；关键字段可查；异常有提示；结果可追溯到操作人和时间。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M09-DR-99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模块联动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跨模块数据同步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与项目中心、文件中心、预警中心、审计日志联动；核心对象包括：人员、证书、社保、继续教育、资质标准、补人任务、并购体检、迁移记录。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系统按项目、企业、角色、密级过滤数据，并将风险事件推送至责任人。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5"/>
              </w:rPr>
              <w:t>跨模块字段口径一致；预警可闭环；日志可检索。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color w:val="1F4D78"/>
          <w:sz w:val="24"/>
        </w:rPr>
        <w:t>5.9.2 字段与权限补充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1200"/>
        <w:gridCol w:w="386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字段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类型说明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是否必填</w:t>
            </w:r>
          </w:p>
        </w:tc>
        <w:tc>
          <w:tcPr>
            <w:tcW w:type="dxa" w:w="3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控制要求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人员类型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证书编号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专业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等级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注册单位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有效期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社保状态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继续教育状态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资质标准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缺口数量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文本/日期/金额/枚举/附件按字段类型配置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新增、编辑、导入、导出均需做权限和日志控制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6. 预警与审批规则设计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000"/>
        <w:gridCol w:w="1200"/>
        <w:gridCol w:w="2900"/>
        <w:gridCol w:w="2800"/>
        <w:gridCol w:w="1460"/>
      </w:tblGrid>
      <w:tr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规则编号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来源模块</w:t>
            </w:r>
          </w:p>
        </w:tc>
        <w:tc>
          <w:tcPr>
            <w:tcW w:type="dxa" w:w="2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触发条件</w:t>
            </w:r>
          </w:p>
        </w:tc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处理动作</w:t>
            </w:r>
          </w:p>
        </w:tc>
        <w:tc>
          <w:tcPr>
            <w:tcW w:type="dxa" w:w="1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关闭条件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R-001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资质/人员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证书或资质有效期进入提醒窗口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生成待办并通知责任人；逾期升级给总经理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上传延期/续期证明并通过审核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R-002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投标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项目资质、业绩、人员、地域任一条件不满足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标记不可投并展示原因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补齐条件或管理员确认例外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R-003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成本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支出申请超过预算或分包付款超过进度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拦截提交并发起二次审批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审批通过或调整预算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R-004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财税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无票支出、发票主体、税负率、计税方式异常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生成财税风险并进入复核池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补票、修正、说明或审批关闭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R-005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资料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阶段资料、签证、变更超过截止时间未上传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生成资料缺项预警并影响结算证据完整度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上传并审核通过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R-006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回款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欠款逾期达到阈值或催收节点超期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债权分级升级，推送清欠专员和负责人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回款、达成协议或核销审批通过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R-007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涉密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涉密文件查看、下载、打印、转发、外发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按密级发起审批并记录审计日志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审批完成且访问权限到期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7. 权限设计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权限维度</w:t>
            </w:r>
          </w:p>
        </w:tc>
        <w:tc>
          <w:tcPr>
            <w:tcW w:type="dxa" w:w="7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规则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租户隔离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不同企业客户数据物理或逻辑隔离，任何用户默认不可跨租户访问。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组织层级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企业总部、分支机构、项目部按组织树授权，支持上级查看下级汇总。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项目授权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用户只能查看被授权项目；涉密项目需额外授权。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角色授权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按角色配置菜单、按钮、字段、导入、导出、审批、删除等权限。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数据密级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普通、内部、敏感、涉密四级；密级越高，导出和分享限制越强。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操作审计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查看敏感数据、导出、删除、修改权限、审批涉密资料必须记录日志。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8. 报表与驾驶舱指标设计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800"/>
        <w:gridCol w:w="4400"/>
        <w:gridCol w:w="316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7"/>
              </w:rPr>
              <w:t>指标/报表</w:t>
            </w:r>
          </w:p>
        </w:tc>
        <w:tc>
          <w:tcPr>
            <w:tcW w:type="dxa" w:w="4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7"/>
              </w:rPr>
              <w:t>计算口径</w:t>
            </w:r>
          </w:p>
        </w:tc>
        <w:tc>
          <w:tcPr>
            <w:tcW w:type="dxa" w:w="3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7"/>
              </w:rPr>
              <w:t>展示维度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项目真实净利润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收入 - 直接成本 - 税费 - 管理费 - 资金占用成本 - 坏账损失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项目、项目负责人、甲方、月份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待回款总额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未回款进度款 + 竣工尾款 + 质保金 + 垫资款 + 逾期利息/违约金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甲方、项目、逾期区间、风险等级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成本偏差率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(实际成本 - 预算成本) / 预算成本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项目、成本科目、供应商、时间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中标率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中标项目数 / 有效投标项目数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行业、地域、项目类型、时间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资料完整度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已通过资料数量 / 应提交资料数量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项目、阶段、专业、责任人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资质健康度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有效资质、临期资质、过期资质、涉密条件满足情况综合评分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企业、资质类型、责任人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甲方信用评级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付款及时率、逾期金额、违约次数、沟通配合度、历史坏账综合评分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甲方、项目、合作周期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9. 集成与接口需求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600"/>
        <w:gridCol w:w="1700"/>
        <w:gridCol w:w="4860"/>
        <w:gridCol w:w="1200"/>
      </w:tblGrid>
      <w:t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7"/>
              </w:rPr>
              <w:t>接口方向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7"/>
              </w:rPr>
              <w:t>数据流向</w:t>
            </w:r>
          </w:p>
        </w:tc>
        <w:tc>
          <w:tcPr>
            <w:tcW w:type="dxa" w:w="4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7"/>
              </w:rPr>
              <w:t>详细需求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7"/>
              </w:rPr>
              <w:t>优先级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电子签章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系统 -&gt; 第三方 -&gt; 系统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合同、催告函、律师函发起签署，回传签署状态、签署文件和证书。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P1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OCR 识别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文件 -&gt; OCR -&gt; 系统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识别证书、发票、合同、结算书、验收单、签证单关键字段，支持人工复核。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P1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消息通道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系统 -&gt; 用户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短信、微信、邮件、站内信多通道通知，支持失败重试和发送日志。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P0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招标数据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外部平台 -&gt; 系统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按地区、行业、资质要求采集公告，去重、解析、匹配并记录来源。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P1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发票/财税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系统 &lt;-&gt; 第三方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发票真伪、主体一致性、税率、计税方式和税负异常校验。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P2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人脸考勤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设备/第三方 -&gt; 系统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同步人员、考勤时间、项目、班组、异常打卡结果。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P2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10. 测试验收清单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企业初始化后，可以创建项目、配置角色、导入历史资料和债权数据。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任一 P0 模块的新增、编辑、删除、导入、导出、审批、日志均能按权限控制。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资质到期、资料逾期、支出超预算、无票支出、债权逾期、涉密导出均可触发预警。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项目成本、财税、回款、驾驶舱的金额口径一致，且可以下钻到明细记录。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涉密数据在无授权情况下不可查看、下载、导出；授权后操作全程留痕。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所有关键报表可以按企业、项目、时间、甲方、负责人筛选并导出。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异常场景有明确提示，不允许静默失败；批量任务有进度和失败明细。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11. 待业务确认事项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700"/>
        <w:gridCol w:w="4860"/>
        <w:gridCol w:w="2800"/>
      </w:tblGrid>
      <w:t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事项</w:t>
            </w:r>
          </w:p>
        </w:tc>
        <w:tc>
          <w:tcPr>
            <w:tcW w:type="dxa" w:w="4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需确认内容</w:t>
            </w:r>
          </w:p>
        </w:tc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影响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军工涉密边界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系统是否需私有化部署、是否允许云端存储涉密文件、密级定义和审批制度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影响架构、安全、部署和合规成本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财税规则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税率、计税方式、异地施工、分包差额计税、坏账核销口径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影响财税引擎和报表准确性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托管 SOP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线下托管团队的服务流程、责任分工、交付报告和服务等级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影响任务模型、报告模板和运营看板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外部数据源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招标公告、资质核验、信用黑名单、发票校验等接口来源和授权方式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影响数据自动化程度和合法合规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MVP 范围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首期是否优先做资质/资料/成本/财税/回款/驾驶舱，招投标和劳务法务是否后置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影响研发排期和产品销售节奏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606C78"/>
        <w:sz w:val="18"/>
      </w:rPr>
      <w:t>施工企业全流程运营托管数字化系统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color w:val="606C78"/>
        <w:sz w:val="18"/>
      </w:rPr>
      <w:t>详细需求设计说明书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