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产品需求文档</w:t>
      </w:r>
    </w:p>
    <w:p>
      <w:pPr>
        <w:spacing w:after="280"/>
      </w:pPr>
      <w:r>
        <w:rPr>
          <w:rFonts w:ascii="Calibri" w:hAnsi="Calibri" w:eastAsia="Microsoft YaHei"/>
          <w:b w:val="0"/>
          <w:color w:val="373737"/>
          <w:sz w:val="30"/>
        </w:rPr>
        <w:t>施工企业全流程运营托管数字化系统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F1F1F"/>
          <w:sz w:val="22"/>
        </w:rPr>
        <w:t xml:space="preserve">产品定位: </w:t>
      </w:r>
      <w:r>
        <w:rPr>
          <w:rFonts w:ascii="Calibri" w:hAnsi="Calibri" w:eastAsia="Microsoft YaHei"/>
          <w:color w:val="1F1F1F"/>
          <w:sz w:val="22"/>
        </w:rPr>
        <w:t>建工全链条合规 + 盈利托管一体化 SaaS 系统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F1F1F"/>
          <w:sz w:val="22"/>
        </w:rPr>
        <w:t xml:space="preserve">适用对象: </w:t>
      </w:r>
      <w:r>
        <w:rPr>
          <w:rFonts w:ascii="Calibri" w:hAnsi="Calibri" w:eastAsia="Microsoft YaHei"/>
          <w:color w:val="1F1F1F"/>
          <w:sz w:val="22"/>
        </w:rPr>
        <w:t>建筑总包、专业分包、劳务工程企业、工程服务商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F1F1F"/>
          <w:sz w:val="22"/>
        </w:rPr>
        <w:t xml:space="preserve">业务模式: </w:t>
      </w:r>
      <w:r>
        <w:rPr>
          <w:rFonts w:ascii="Calibri" w:hAnsi="Calibri" w:eastAsia="Microsoft YaHei"/>
          <w:color w:val="1F1F1F"/>
          <w:sz w:val="22"/>
        </w:rPr>
        <w:t>线上数字化 SaaS 系统 + 线下工程全流程托管服务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F1F1F"/>
          <w:sz w:val="22"/>
        </w:rPr>
        <w:t xml:space="preserve">文档版本: </w:t>
      </w:r>
      <w:r>
        <w:rPr>
          <w:rFonts w:ascii="Calibri" w:hAnsi="Calibri" w:eastAsia="Microsoft YaHei"/>
          <w:color w:val="1F1F1F"/>
          <w:sz w:val="22"/>
        </w:rPr>
        <w:t>V1.0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F1F1F"/>
          <w:sz w:val="22"/>
        </w:rPr>
        <w:t xml:space="preserve">生成日期: </w:t>
      </w:r>
      <w:r>
        <w:rPr>
          <w:rFonts w:ascii="Calibri" w:hAnsi="Calibri" w:eastAsia="Microsoft YaHei"/>
          <w:color w:val="1F1F1F"/>
          <w:sz w:val="22"/>
        </w:rPr>
        <w:t>2026-06-29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F1F1F"/>
          <w:sz w:val="22"/>
        </w:rPr>
        <w:t xml:space="preserve">来源依据: </w:t>
      </w:r>
      <w:r>
        <w:rPr>
          <w:rFonts w:ascii="Calibri" w:hAnsi="Calibri" w:eastAsia="Microsoft YaHei"/>
          <w:color w:val="1F1F1F"/>
          <w:sz w:val="22"/>
        </w:rPr>
        <w:t>《施工企业全流程运营托管数字化系统方案文档》</w:t>
      </w:r>
    </w:p>
    <w:p>
      <w:pPr>
        <w:spacing w:after="160"/>
      </w:pPr>
    </w:p>
    <w:p>
      <w:pPr>
        <w:pBdr>
          <w:bottom w:val="single" w:sz="8" w:space="1" w:color="2E74B5"/>
        </w:pBdr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产品概述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PRD 摘要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1F1F"/>
                <w:sz w:val="21"/>
              </w:rPr>
              <w:t>本产品面向中小施工企业，把资质人员、招投标、施工资料、项目成本、财税、劳务法务、工程回款、经营驾驶舱和并购升级托管整合为一套可运营、可预警、可追溯的数字化系统。产品的核心价值不是单点记账或资料管理，而是用同一套数据底座支持合规前置、风险预警、盈利控制和线下托管服务交付。</w:t>
            </w:r>
          </w:p>
        </w:tc>
      </w:tr>
    </w:tbl>
    <w:p>
      <w:pPr>
        <w:spacing w:after="120"/>
      </w:pPr>
    </w:p>
    <w:p>
      <w:r>
        <w:rPr>
          <w:rFonts w:ascii="Calibri" w:hAnsi="Calibri" w:eastAsia="Microsoft YaHei"/>
          <w:color w:val="1F1F1F"/>
          <w:sz w:val="22"/>
        </w:rPr>
        <w:t>产品定位为“建工全链条合规 + 盈利托管”一体化 SaaS 系统，服务建筑总包、专业分包、劳务工程企业及工程服务商。系统强调普通建工合规体系与军工保密合规体系兼容，并把工程非诉回款清欠作为差异化核心模块。</w:t>
      </w:r>
    </w:p>
    <w:p>
      <w:r>
        <w:rPr>
          <w:rFonts w:ascii="Calibri" w:hAnsi="Calibri" w:eastAsia="Microsoft YaHei"/>
          <w:color w:val="1F1F1F"/>
          <w:sz w:val="22"/>
        </w:rPr>
        <w:t>商业定位为“线上数字化 SaaS 管理系统 + 线下工程全流程托管实体服务”，用于解决施工企业合规管理难、投标效率低、项目成本失控、劳务纠纷多、工程款长期拖欠、资质升级缺少方案、经营决策缺少数据的问题。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背景与问题定义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领域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核心问题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业务影响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资质合规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资质台账混乱、证书到期遗忘、保密资质条件不清、升级并购缺少数据支撑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投标废标、年审风险、资质资产价值无法释放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财税与成本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工程款/材料款/劳务费混账，无票支出、税负异常，项目盈亏事后核算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税务稽查风险、利润失真、隐性亏损扩大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投标与资料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标讯遗漏、标书重复填报，施工资料、签证、变更、竣工资料滞后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中标率低、结算依据不足、竣工验收低效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劳务法务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考勤、工资、合同、保险、工伤证据链不完整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劳资纠纷、工伤赔付、合同维权困难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回款清欠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债权台账和证据资料分散，催收缺少标准流程和持续跟进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坏账增加、现金流紧张、甲方合作风险无法量化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经营管理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老板无法统一查看项目、资金、风险、投标、回款、人员和资质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决策依赖经验，无法形成可复制的托管服务能力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产品目标与成功指标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4400"/>
        <w:gridCol w:w="34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目标类型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目标描述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建议指标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合规目标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将资质、证书、涉密条件、人员社保、合同和资料纳入前置校验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关键资质到期漏报率为 0；重大合规预警闭环率 &gt;= 95%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经营目标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实现项目级预算、成本、税费、回款、利润的实时可视化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项目真实利润可计算覆盖率 &gt;= 90%；超预算支出审批拦截率 &gt;= 95%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效率目标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减少投标、资料组卷、报表生成、催收文书制作的重复人工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标书基础资料填充耗时降低 50%；竣工组卷耗时降低 40%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回款目标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建立债权证据链、催收流程和甲方信用评级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逾期债权建档率 &gt;= 95%；回款节点按期跟进率 &gt;= 90%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托管目标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支撑线下托管团队标准化交付和客户续费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客户月度经营报告按期生成率 &gt;= 95%；托管任务闭环率 &gt;= 90%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用户角色与权限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角色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核心权限/使用场景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企业老板/董事长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查看经营驾驶舱、审批关键事项、查看涉密/营收核心数据、决策并购与托管方案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总经理/运营负责人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统筹项目、成本、投标、回款、风险预警，查看跨部门报表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项目负责人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维护项目计划、成本执行、资料节点、签证变更、分包进度和现场风险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财务人员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维护项目账本、票据、税费、回款、坏账、财税报表和资金台账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资料员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维护资料模板、阶段资料、竣工组卷、图纸归档和文件流转记录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资质/人事专员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维护资质、人员证书、社保、继续教育、年审延期和升级测算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投标专员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筛选标讯、生成标书、管理保证金、复盘废标/中标数据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法务/清欠专员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维护合同风险、催收文书、沟通日志、证据链、非诉/诉讼回款节点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涉密管理员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管理涉密资质、涉密人员、涉密资料权限、导出打印审批和操作审计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color w:val="1F1F1F"/>
          <w:sz w:val="22"/>
        </w:rPr>
        <w:t>权限原则：默认按企业、项目、模块、数据密级四层授权；涉密项目、军工资料、企业营收核心数据、并购尽调数据需要独立授权、审批和操作审计。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产品范围与分期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5200"/>
        <w:gridCol w:w="26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阶段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建设范围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目标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MVP / V1.0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资质合规、工程资料、项目成本、财税账本、回款清欠、驾驶舱基础版、统一权限与审计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先打通合规、资料、成本、财税、回款的核心经营闭环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V1.1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招投标、劳务法务、人员证书、资质升级测算、标准合同/标书/资料模板库增强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扩展投标前端和现场用工法务闭环，降低运营团队手工工作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V2.0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军工涉密全套管控、并购分立托管、智能经营分析、外部平台对接、AI 风险识别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形成差异化壁垒和高客单价托管服务能力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范围边界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1F1F"/>
                <w:sz w:val="21"/>
              </w:rPr>
              <w:t>PRD 默认建设企业级 SaaS 管理系统，不包含线下托管团队的组织架构、销售合同条款、法律诉讼代理服务本身。非诉与诉讼流程在系统中作为任务、证据、文书、资金和状态管理对象，不替代律师专业判断。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总体业务流程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流程阶段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关键动作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输出物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企业初始化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录入企业主体、资质、人员、项目、角色权限、历史债权和模板库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形成企业数据底座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投标前准入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系统校验资质等级、人员证书、业绩、地域、涉密条件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输出可投项目/不可投原因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项目立项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建立项目账本、预算、资料计划、合同、分包/供应商、回款计划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项目进入经营闭环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施工过程管控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同步支出、材料、机械、考勤、签证、变更、合同风险和资料上传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实时预警成本、资料、劳务、法务风险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结算与回款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汇总竣工资料、债权证据、回款税费、催收节点和甲方信用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形成回款闭环和坏账管理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经营复盘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驾驶舱汇总项目利润、风险、回款、投标、资质、人员和财税数据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自动生成经营分析与托管建议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信息架构与模块总览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900"/>
        <w:gridCol w:w="40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模块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定位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优先级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核心数据对象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资质合规管理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合规准入与资质资产底座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资质证书、企业主体、人员证书、业绩、设备、场地、保密制度、外协单位、预警事件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财税风控管理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项目账本与税务风险闭环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项目账本、收支流水、发票、税费规则、回款记录、坏账记录、报表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招投标全过程管理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机会发现、标书生产与投标复盘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标讯、投标项目、标书模板、企业资料、保证金、竞品记录、废标原因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工程资料全生命周期管理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资料模板、过程留痕与竣工组卷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资料模板、项目阶段、工程文件、签证单、变更单、图纸、操作日志、组卷包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项目成本精准管控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盈利核心与预算执行控制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预算、成本科目、支出单、材料领用、机械台班、考勤、分包合同、付款、利润模型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劳务与法务一体化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现场用工合规、合同风控与证据链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工人、班组、考勤、劳动合同、保险、工资单、工程合同、风险条款、证据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工程回款清欠专项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债权建档、非诉催收与回款经营分析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债权、欠款主体、合同证据、催收文书、送达凭证、沟通日志、回款计划、信用评级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企业数字化驾驶舱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老板视角的经营总控中心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经营指标、项目汇总、资金汇总、风险事件、分析报告、角色权限、数据看板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人员体系与资质升级并购托管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人员证书资产、升级测算与并购迁移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人员、证书、社保、继续教育、资质标准、补人任务、并购体检、迁移记录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功能需求明细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8.1 资质合规管理（M01）</w:t>
      </w:r>
    </w:p>
    <w:p>
      <w:r>
        <w:rPr>
          <w:rFonts w:ascii="Calibri" w:hAnsi="Calibri" w:eastAsia="Microsoft YaHei"/>
          <w:color w:val="1F1F1F"/>
          <w:sz w:val="22"/>
        </w:rPr>
        <w:t>模块定位：合规准入与资质资产底座。</w:t>
      </w:r>
    </w:p>
    <w:p>
      <w:r>
        <w:rPr>
          <w:rFonts w:ascii="Calibri" w:hAnsi="Calibri" w:eastAsia="Microsoft YaHei"/>
          <w:color w:val="1F1F1F"/>
          <w:sz w:val="22"/>
        </w:rPr>
        <w:t>问题定义：资质、证书、年审、军工保密条件分散管理，导致投标废标、年审遗漏、升级申报缺少数据支撑。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资质资产总台账：建筑施工资质、安许证、劳务资质、军工二级保密资质、涉密信息集成资质、特种作业资质统一建档。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证书原件扫描、线上真伪核验、到期倒计时、等级/承接范围/地域限制智能标注。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年审、延期、抽查、公示、信用扣分、黑名单、企业异常信息预警。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资质升级、增项、并购/分立/转让测算，输出业绩、人员、设备、场地缺口和整改清单。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涉密资质专属管控：政审、社保、培训、场地、保密设备、制度、外协单位资质审核。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3600"/>
        <w:gridCol w:w="760"/>
        <w:gridCol w:w="2350"/>
      </w:tblGrid>
      <w:t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需求编号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需求项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需求描述</w:t>
            </w:r>
          </w:p>
        </w:tc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优先级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验收要点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M01-FR-01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资质资产总台账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资质资产总台账：建筑施工资质、安许证、劳务资质、军工二级保密资质、涉密信息集成资质、特种作业资质统一建档。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M01-FR-02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证书原件扫描、线上真伪核验、到期倒计时、等级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证书原件扫描、线上真伪核验、到期倒计时、等级/承接范围/地域限制智能标注。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M01-FR-03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年审、延期、抽查、公示、信用扣分、黑名单、企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年审、延期、抽查、公示、信用扣分、黑名单、企业异常信息预警。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M01-FR-04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资质升级、增项、并购/分立/转让测算，输出业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资质升级、增项、并购/分立/转让测算，输出业绩、人员、设备、场地缺口和整改清单。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M01-FR-05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涉密资质专属管控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涉密资质专属管控：政审、社保、培训、场地、保密设备、制度、外协单位资质审核。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8.2 财税风控管理（M02）</w:t>
      </w:r>
    </w:p>
    <w:p>
      <w:r>
        <w:rPr>
          <w:rFonts w:ascii="Calibri" w:hAnsi="Calibri" w:eastAsia="Microsoft YaHei"/>
          <w:color w:val="1F1F1F"/>
          <w:sz w:val="22"/>
        </w:rPr>
        <w:t>模块定位：项目账本与税务风险闭环。</w:t>
      </w:r>
    </w:p>
    <w:p>
      <w:r>
        <w:rPr>
          <w:rFonts w:ascii="Calibri" w:hAnsi="Calibri" w:eastAsia="Microsoft YaHei"/>
          <w:color w:val="1F1F1F"/>
          <w:sz w:val="22"/>
        </w:rPr>
        <w:t>问题定义：工程款、材料款、劳务费混账，无票支出和税负异常难以前置发现，项目盈亏只能事后核算。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一项目一账本，独立核算收入、直接成本、规费、税费、净利润。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垫资、逾期利息、违约补偿、质保金、坏账、欠款核销专项记账。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无票支出、发票真伪异常、税负率超标、异地施工预缴、简易计税、分包差额计税自动校验。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非诉/诉讼回款专项资金台账，回款税费自动测算。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单项目利润表、企业盈亏报表、税负分析、财税合规体检报告自动生成。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3600"/>
        <w:gridCol w:w="760"/>
        <w:gridCol w:w="2350"/>
      </w:tblGrid>
      <w:t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需求编号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需求项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需求描述</w:t>
            </w:r>
          </w:p>
        </w:tc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优先级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验收要点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M02-FR-01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一项目一账本，独立核算收入、直接成本、规费、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一项目一账本，独立核算收入、直接成本、规费、税费、净利润。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M02-FR-02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垫资、逾期利息、违约补偿、质保金、坏账、欠款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垫资、逾期利息、违约补偿、质保金、坏账、欠款核销专项记账。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M02-FR-03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无票支出、发票真伪异常、税负率超标、异地施工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无票支出、发票真伪异常、税负率超标、异地施工预缴、简易计税、分包差额计税自动校验。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M02-FR-04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非诉/诉讼回款专项资金台账，回款税费自动测算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非诉/诉讼回款专项资金台账，回款税费自动测算。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M02-FR-05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单项目利润表、企业盈亏报表、税负分析、财税合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单项目利润表、企业盈亏报表、税负分析、财税合规体检报告自动生成。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8.3 招投标全过程管理（M03）</w:t>
      </w:r>
    </w:p>
    <w:p>
      <w:r>
        <w:rPr>
          <w:rFonts w:ascii="Calibri" w:hAnsi="Calibri" w:eastAsia="Microsoft YaHei"/>
          <w:color w:val="1F1F1F"/>
          <w:sz w:val="22"/>
        </w:rPr>
        <w:t>模块定位：机会发现、标书生产与投标复盘。</w:t>
      </w:r>
    </w:p>
    <w:p>
      <w:r>
        <w:rPr>
          <w:rFonts w:ascii="Calibri" w:hAnsi="Calibri" w:eastAsia="Microsoft YaHei"/>
          <w:color w:val="1F1F1F"/>
          <w:sz w:val="22"/>
        </w:rPr>
        <w:t>问题定义：标讯分散、资料匹配易错、保证金无人跟进、废标原因缺少复盘，涉密投标资料缺少权限管控。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全网标讯抓取，覆盖房建、市政、公路、政府采购、军工涉密项目。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按资质等级、经营范围、地域和项目类型筛选可投项目并推送。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民用建筑、市政、机电、军工涉密工程标书模板库，人员/资质/业绩一键填充。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报名、购标、答疑、开标、保证金、履约保证金全流程节点跟踪。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废标原因归档、中标率、竞品投标数据分析，涉密投标资料加密存储和分级授权。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3600"/>
        <w:gridCol w:w="760"/>
        <w:gridCol w:w="2350"/>
      </w:tblGrid>
      <w:t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需求编号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需求项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需求描述</w:t>
            </w:r>
          </w:p>
        </w:tc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优先级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验收要点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M03-FR-01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全网标讯抓取，覆盖房建、市政、公路、政府采购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全网标讯抓取，覆盖房建、市政、公路、政府采购、军工涉密项目。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M03-FR-02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按资质等级、经营范围、地域和项目类型筛选可投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按资质等级、经营范围、地域和项目类型筛选可投项目并推送。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M03-FR-03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民用建筑、市政、机电、军工涉密工程标书模板库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民用建筑、市政、机电、军工涉密工程标书模板库，人员/资质/业绩一键填充。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M03-FR-04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报名、购标、答疑、开标、保证金、履约保证金全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报名、购标、答疑、开标、保证金、履约保证金全流程节点跟踪。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M03-FR-05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废标原因归档、中标率、竞品投标数据分析，涉密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废标原因归档、中标率、竞品投标数据分析，涉密投标资料加密存储和分级授权。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8.4 工程资料全生命周期管理（M04）</w:t>
      </w:r>
    </w:p>
    <w:p>
      <w:r>
        <w:rPr>
          <w:rFonts w:ascii="Calibri" w:hAnsi="Calibri" w:eastAsia="Microsoft YaHei"/>
          <w:color w:val="1F1F1F"/>
          <w:sz w:val="22"/>
        </w:rPr>
        <w:t>模块定位：资料模板、过程留痕与竣工组卷。</w:t>
      </w:r>
    </w:p>
    <w:p>
      <w:r>
        <w:rPr>
          <w:rFonts w:ascii="Calibri" w:hAnsi="Calibri" w:eastAsia="Microsoft YaHei"/>
          <w:color w:val="1F1F1F"/>
          <w:sz w:val="22"/>
        </w:rPr>
        <w:t>问题定义：施工资料纸质零散，签证/变更/隐蔽资料滞后，竣工组卷工作量大，涉密图纸泄露风险高。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开工报审、施工记录、隐蔽验收、现场签证、设计变更、竣工验收模板库。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按土建、市政、机电、军工涉密工程区分专业资料模板。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施工计划联动资料填报提醒，签证和变更逾期未上传预警。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资料云端加密存储，上传、下载、转发、打印全程日志留痕。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竣工资料一键组卷，支持 PDF、CAD 图纸批量导出归档，涉密文件分级管控。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3600"/>
        <w:gridCol w:w="760"/>
        <w:gridCol w:w="2350"/>
      </w:tblGrid>
      <w:t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需求编号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需求项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需求描述</w:t>
            </w:r>
          </w:p>
        </w:tc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优先级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验收要点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M04-FR-01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开工报审、施工记录、隐蔽验收、现场签证、设计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开工报审、施工记录、隐蔽验收、现场签证、设计变更、竣工验收模板库。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M04-FR-02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按土建、市政、机电、军工涉密工程区分专业资料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按土建、市政、机电、军工涉密工程区分专业资料模板。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M04-FR-03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施工计划联动资料填报提醒，签证和变更逾期未上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施工计划联动资料填报提醒，签证和变更逾期未上传预警。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M04-FR-04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资料云端加密存储，上传、下载、转发、打印全程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资料云端加密存储，上传、下载、转发、打印全程日志留痕。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M04-FR-05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竣工资料一键组卷，支持 PDF、CAD 图纸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竣工资料一键组卷，支持 PDF、CAD 图纸批量导出归档，涉密文件分级管控。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8.5 项目成本精准管控（M05）</w:t>
      </w:r>
    </w:p>
    <w:p>
      <w:r>
        <w:rPr>
          <w:rFonts w:ascii="Calibri" w:hAnsi="Calibri" w:eastAsia="Microsoft YaHei"/>
          <w:color w:val="1F1F1F"/>
          <w:sz w:val="22"/>
        </w:rPr>
        <w:t>模块定位：盈利核心与预算执行控制。</w:t>
      </w:r>
    </w:p>
    <w:p>
      <w:r>
        <w:rPr>
          <w:rFonts w:ascii="Calibri" w:hAnsi="Calibri" w:eastAsia="Microsoft YaHei"/>
          <w:color w:val="1F1F1F"/>
          <w:sz w:val="22"/>
        </w:rPr>
        <w:t>问题定义：事前预算不准、事中支出失控、分包超付、材料浪费、机械闲置、垫资资金成本无法核算。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人工费、材料费、机械费、管理费、规费、税金一键预算，普通/军工项目差异化模板。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每笔支出对标预算，超预算触发预警和二次审批。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材料领用、机械台班、工人考勤自动联动项目成本。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分包合同、月度结算、付款记录闭环台账，识别超进度付款和重复结算。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自动计算垫资时长、资金占用利息、回款滞后成本，核算项目真实净利润。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3600"/>
        <w:gridCol w:w="760"/>
        <w:gridCol w:w="2350"/>
      </w:tblGrid>
      <w:t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需求编号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需求项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需求描述</w:t>
            </w:r>
          </w:p>
        </w:tc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优先级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验收要点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M05-FR-01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人工费、材料费、机械费、管理费、规费、税金一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人工费、材料费、机械费、管理费、规费、税金一键预算，普通/军工项目差异化模板。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M05-FR-02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每笔支出对标预算，超预算触发预警和二次审批。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每笔支出对标预算，超预算触发预警和二次审批。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M05-FR-03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材料领用、机械台班、工人考勤自动联动项目成本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材料领用、机械台班、工人考勤自动联动项目成本。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M05-FR-04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分包合同、月度结算、付款记录闭环台账，识别超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分包合同、月度结算、付款记录闭环台账，识别超进度付款和重复结算。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M05-FR-05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自动计算垫资时长、资金占用利息、回款滞后成本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自动计算垫资时长、资金占用利息、回款滞后成本，核算项目真实净利润。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8.6 劳务与法务一体化（M06）</w:t>
      </w:r>
    </w:p>
    <w:p>
      <w:r>
        <w:rPr>
          <w:rFonts w:ascii="Calibri" w:hAnsi="Calibri" w:eastAsia="Microsoft YaHei"/>
          <w:color w:val="1F1F1F"/>
          <w:sz w:val="22"/>
        </w:rPr>
        <w:t>模块定位：现场用工合规、合同风控与证据链。</w:t>
      </w:r>
    </w:p>
    <w:p>
      <w:r>
        <w:rPr>
          <w:rFonts w:ascii="Calibri" w:hAnsi="Calibri" w:eastAsia="Microsoft YaHei"/>
          <w:color w:val="1F1F1F"/>
          <w:sz w:val="22"/>
        </w:rPr>
        <w:t>问题定义：实名制、考勤、工资、工伤保险和合同条款缺失，导致劳资纠纷、工伤赔付和维权困难。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工人信息建档、人脸识别考勤、班组管理、电子劳动合同签署。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工伤保险到期提醒，工资台账、银行代发记录、工资公示表一键生成。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总包、分包、材料采购、劳务用工标准合同模板。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合同霸王条款、付款违约、工期漏洞智能识别并标注。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工期逾期、甲方付款逾期、违约行为自动记录，提前预警纠纷并留存证据链。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3600"/>
        <w:gridCol w:w="760"/>
        <w:gridCol w:w="2350"/>
      </w:tblGrid>
      <w:t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需求编号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需求项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需求描述</w:t>
            </w:r>
          </w:p>
        </w:tc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优先级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验收要点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M06-FR-01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工人信息建档、人脸识别考勤、班组管理、电子劳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工人信息建档、人脸识别考勤、班组管理、电子劳动合同签署。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M06-FR-02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工伤保险到期提醒，工资台账、银行代发记录、工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工伤保险到期提醒，工资台账、银行代发记录、工资公示表一键生成。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M06-FR-03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总包、分包、材料采购、劳务用工标准合同模板。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总包、分包、材料采购、劳务用工标准合同模板。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M06-FR-04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合同霸王条款、付款违约、工期漏洞智能识别并标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合同霸王条款、付款违约、工期漏洞智能识别并标注。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M06-FR-05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工期逾期、甲方付款逾期、违约行为自动记录，提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工期逾期、甲方付款逾期、违约行为自动记录，提前预警纠纷并留存证据链。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8.7 工程回款清欠专项（M07）</w:t>
      </w:r>
    </w:p>
    <w:p>
      <w:r>
        <w:rPr>
          <w:rFonts w:ascii="Calibri" w:hAnsi="Calibri" w:eastAsia="Microsoft YaHei"/>
          <w:color w:val="1F1F1F"/>
          <w:sz w:val="22"/>
        </w:rPr>
        <w:t>模块定位：债权建档、非诉催收与回款经营分析。</w:t>
      </w:r>
    </w:p>
    <w:p>
      <w:r>
        <w:rPr>
          <w:rFonts w:ascii="Calibri" w:hAnsi="Calibri" w:eastAsia="Microsoft YaHei"/>
          <w:color w:val="1F1F1F"/>
          <w:sz w:val="22"/>
        </w:rPr>
        <w:t>问题定义：进度款、尾款、质保金、垫资款证据分散，线下催收无流程、无记录、无策略，坏账率高。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进度款、竣工尾款、质保金、垫资款、逾期利息、违约金债权统一建档。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关联合同、竣工验收单、签证单、结算书、沟通记录和送达凭证。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按金额、逾期时长、甲方信用分级为正常回款、呆滞账款、坏账。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催告函、律师函标准化生成，商务谈判、对账、沟通日志全程存档。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回款成功率、平均回款周期、坏账率、甲方信用评级和后续合作风险自动分析。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3600"/>
        <w:gridCol w:w="760"/>
        <w:gridCol w:w="2350"/>
      </w:tblGrid>
      <w:t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需求编号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需求项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需求描述</w:t>
            </w:r>
          </w:p>
        </w:tc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优先级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验收要点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M07-FR-01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进度款、竣工尾款、质保金、垫资款、逾期利息、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进度款、竣工尾款、质保金、垫资款、逾期利息、违约金债权统一建档。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M07-FR-02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关联合同、竣工验收单、签证单、结算书、沟通记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关联合同、竣工验收单、签证单、结算书、沟通记录和送达凭证。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M07-FR-03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按金额、逾期时长、甲方信用分级为正常回款、呆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按金额、逾期时长、甲方信用分级为正常回款、呆滞账款、坏账。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M07-FR-04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催告函、律师函标准化生成，商务谈判、对账、沟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催告函、律师函标准化生成，商务谈判、对账、沟通日志全程存档。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M07-FR-05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回款成功率、平均回款周期、坏账率、甲方信用评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回款成功率、平均回款周期、坏账率、甲方信用评级和后续合作风险自动分析。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8.8 企业数字化驾驶舱（M08）</w:t>
      </w:r>
    </w:p>
    <w:p>
      <w:r>
        <w:rPr>
          <w:rFonts w:ascii="Calibri" w:hAnsi="Calibri" w:eastAsia="Microsoft YaHei"/>
          <w:color w:val="1F1F1F"/>
          <w:sz w:val="22"/>
        </w:rPr>
        <w:t>模块定位：老板视角的经营总控中心。</w:t>
      </w:r>
    </w:p>
    <w:p>
      <w:r>
        <w:rPr>
          <w:rFonts w:ascii="Calibri" w:hAnsi="Calibri" w:eastAsia="Microsoft YaHei"/>
          <w:color w:val="1F1F1F"/>
          <w:sz w:val="22"/>
        </w:rPr>
        <w:t>问题定义：负责人无法统一查看项目、资金、资质、风险、投标、回款、经营报告，决策依赖经验。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展示在建项目、待回款金额、资质到期预警、财税风险、项目中标率。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资金流水、垫资总额、坏账风险、盈利/亏损项目、高风险甲方可视化。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月度、季度、年度经营分析报告自动生成。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按企业老板、总经理、项目负责人、财务、资料员等角色分级权限。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涉密项目数据和企业营收核心数据独立加密隔离。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3600"/>
        <w:gridCol w:w="760"/>
        <w:gridCol w:w="2350"/>
      </w:tblGrid>
      <w:t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需求编号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需求项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需求描述</w:t>
            </w:r>
          </w:p>
        </w:tc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优先级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验收要点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M08-FR-01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展示在建项目、待回款金额、资质到期预警、财税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展示在建项目、待回款金额、资质到期预警、财税风险、项目中标率。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M08-FR-02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资金流水、垫资总额、坏账风险、盈利/亏损项目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资金流水、垫资总额、坏账风险、盈利/亏损项目、高风险甲方可视化。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M08-FR-03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月度、季度、年度经营分析报告自动生成。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月度、季度、年度经营分析报告自动生成。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M08-FR-04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按企业老板、总经理、项目负责人、财务、资料员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按企业老板、总经理、项目负责人、财务、资料员等角色分级权限。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M08-FR-05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涉密项目数据和企业营收核心数据独立加密隔离。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涉密项目数据和企业营收核心数据独立加密隔离。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8.9 人员体系与资质升级并购托管（M09）</w:t>
      </w:r>
    </w:p>
    <w:p>
      <w:r>
        <w:rPr>
          <w:rFonts w:ascii="Calibri" w:hAnsi="Calibri" w:eastAsia="Microsoft YaHei"/>
          <w:color w:val="1F1F1F"/>
          <w:sz w:val="22"/>
        </w:rPr>
        <w:t>模块定位：人员证书资产、升级测算与并购迁移。</w:t>
      </w:r>
    </w:p>
    <w:p>
      <w:r>
        <w:rPr>
          <w:rFonts w:ascii="Calibri" w:hAnsi="Calibri" w:eastAsia="Microsoft YaHei"/>
          <w:color w:val="1F1F1F"/>
          <w:sz w:val="22"/>
        </w:rPr>
        <w:t>问题定义：建造师、八大员、技工、特种工、涉密人员证书和社保注册流程混乱，升级/并购缺少资产盘点。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建造师、职称人员、技工、特种工、涉密专职保密人员统一建档。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证书注册到期、继续教育、证件有效期、社保合规自动预警。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按资质升级标准自动核算人员专业、数量、业绩缺口。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跟踪证书聘用、人员补充、资料补录进度，输出补人清单。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并购前资质、人员、业绩、财税、欠款风险线上体检，并购后数据迁移和体系重建。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3600"/>
        <w:gridCol w:w="760"/>
        <w:gridCol w:w="2350"/>
      </w:tblGrid>
      <w:t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需求编号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需求项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需求描述</w:t>
            </w:r>
          </w:p>
        </w:tc>
        <w:tc>
          <w:tcPr>
            <w:tcW w:type="dxa" w:w="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优先级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6"/>
              </w:rPr>
              <w:t>验收要点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M09-FR-01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建造师、职称人员、技工、特种工、涉密专职保密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建造师、职称人员、技工、特种工、涉密专职保密人员统一建档。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M09-FR-02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证书注册到期、继续教育、证件有效期、社保合规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证书注册到期、继续教育、证件有效期、社保合规自动预警。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M09-FR-03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按资质升级标准自动核算人员专业、数量、业绩缺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按资质升级标准自动核算人员专业、数量、业绩缺口。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M09-FR-04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跟踪证书聘用、人员补充、资料补录进度，输出补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跟踪证书聘用、人员补充、资料补录进度，输出补人清单。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M09-FR-05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并购前资质、人员、业绩、财税、欠款风险线上体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并购前资质、人员、业绩、财税、欠款风险线上体检，并购后数据迁移和体系重建。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P1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6"/>
              </w:rPr>
              <w:t>功能可配置、可追溯；关键动作写入日志；异常状态触发预警或待办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数据模型与跨模块关系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核心实体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关键字段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关联模块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企业主体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统一社会信用代码、资质范围、经营地域、信用状态、客户等级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全模块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项目类型、地域、甲方、合同额、工期、预算、成本、回款计划、涉密标识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投标、资料、成本、财税、劳务、回款、驾驶舱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人员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岗位、证书、社保、考勤、权限、涉密身份、培训记录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资质、人员体系、劳务、涉密管控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合同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合同类型、主体、金额、付款条款、工期条款、风险标注、证据附件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成本、法务、回款、财税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工程资料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资料类型、项目阶段、上传人、版本、密级、审批状态、导出记录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资料、回款、涉密、驾驶舱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债权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欠款类型、金额、逾期天数、证据完整度、催收阶段、回款状态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回款、财税、驾驶舱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预警事件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来源模块、风险等级、触发规则、责任人、截止时间、闭环状态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全模块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规则、预警与审批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50"/>
        <w:gridCol w:w="4550"/>
        <w:gridCol w:w="3260"/>
      </w:tblGrid>
      <w:t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规则类别</w:t>
            </w:r>
          </w:p>
        </w:tc>
        <w:tc>
          <w:tcPr>
            <w:tcW w:type="dxa" w:w="4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触发条件示例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系统动作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资质/证书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到期前 N 天、年审节点、信用扣分、黑名单、涉密条件缺失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生成预警、责任人待办、投标准入拦截、整改清单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成本预算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单笔支出超预算、累计成本超阈值、分包超进度付款、重复结算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二次审批、预算差异报告、项目负责人/老板通知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财税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无票支出超额、发票异常、税负率偏离、异地施工预缴缺失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风险标记、补票待办、合规体检报告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阶段资料未上传、签证/变更逾期、竣工组卷资料缺项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资料员待办、结算依据风险提示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回款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逾期天数达到阈值、甲方多次违约、证据缺项、催收节点超期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债权分级、催收任务、文书生成、升级提醒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涉密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涉密资料导出/打印/转发、外协单位资质未审核、涉密人员培训缺失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审批拦截、审计日志、涉密管理员告警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11. 非功能需求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类别</w:t>
            </w:r>
          </w:p>
        </w:tc>
        <w:tc>
          <w:tcPr>
            <w:tcW w:type="dxa" w:w="7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需求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安全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支持多租户数据隔离、RBAC 权限、项目级授权、涉密数据加密、操作审计、导出/打印审批。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合规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关键证据、合同、资料、催收文书需保留版本、时间戳、操作人和流转记录。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性能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常用列表 3 秒内返回；驾驶舱核心指标 5 秒内刷新；批量导入需提供异步任务进度。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可用性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支持 Web 端优先；常用录入表单支持模板导入、批量上传、字段校验和错误提示。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可扩展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预警规则、审批流、模板库、字段字典、角色权限应支持企业级配置。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可靠性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核心业务数据每日备份；关键任务失败可重试；文件上传需校验完整性。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审计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登录、查看、下载、导出、审批、删除、权限变更、涉密文件操作全部留痕。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12. 外部集成需求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5960"/>
        <w:gridCol w:w="150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集成方向</w:t>
            </w:r>
          </w:p>
        </w:tc>
        <w:tc>
          <w:tcPr>
            <w:tcW w:type="dxa" w:w="5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说明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优先级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工商/信用/黑名单信息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获取企业异常、公示、信用扣分、黑名单等风险信息。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P1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住建/招标平台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采集标讯、资质标准、行业公告、抽查信息。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P1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电子签章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劳动合同、催告函、律师函、授权书等文书签署和送达。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P1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OCR/文件识别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识别证书、发票、合同、结算书、验收单、签证单关键字段。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P1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财务/税务接口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发票校验、税负分析、财务凭证/报表对接。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P2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短信/微信/邮件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到期、审批、催收、预警消息通知。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P0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13. 验收标准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验收维度</w:t>
            </w:r>
          </w:p>
        </w:tc>
        <w:tc>
          <w:tcPr>
            <w:tcW w:type="dxa" w:w="7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验收口径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业务闭环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MVP 至少完成企业初始化、项目立项、资料上传、预算控制、项目账本、债权建档、预警闭环、驾驶舱汇总。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数据一致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同一项目的合同额、预算、支出、税费、回款、利润在财税、成本、回款、驾驶舱中口径一致。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权限安全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不同角色只能访问授权企业、项目、模块和密级；涉密资料导出/打印必须可审批、可追溯。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预警有效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资质到期、成本超支、资料逾期、回款逾期、无票支出等 P0 规则可以自动触发待办。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模板可用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资质、资料、合同、标书、催收文书等模板可维护、可复用、可导出。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报表可用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单项目利润、企业盈亏、税负分析、回款分析、经营驾驶舱指标可按时间和项目筛选。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14. 风险与待确认问题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军工保密资质和涉密资料管控涉及具体法规、客户实际密级制度及部署环境，需要法务/保密顾问确认系统边界。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标讯抓取、官方资质核验、信用黑名单等外部数据源需要确认可用接口、授权方式、更新频率和合规采集方式。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财税规则存在地域、项目类型、计税方式差异，需要与财税专家共同维护规则库。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人脸识别考勤、电子签章、发票校验、OCR 等能力建议通过成熟第三方服务集成，避免 MVP 阶段自研过重。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线下托管服务的 SOP、人员分工、服务等级和交付物需要另行沉淀，否则系统无法完整承接“托管”业务闭环。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15. 附录：差异化卖点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卖点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产品化表达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普通建工 + 军工保密合规双体系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通过资质、涉密人员、场地设备、制度、资料密级、外协审核和操作审计形成差异化准入能力。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工程非诉回款清欠流程内置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从债权建档、证据链、催告函/律师函、谈判记录、对账、回款进度到甲方信用评级形成闭环。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全生命周期经营闭环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资质人员 -&gt; 投标 -&gt; 资料 -&gt; 成本 -&gt; 财税 -&gt; 劳务法务 -&gt; 回款 -&gt; 驾驶舱贯通。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软件 + 线下托管服务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系统沉淀托管团队工作流程、客户数据和交付报告，提升服务标准化与续费能力。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面向中小施工企业轻量落地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优先建设高频刚需和可量化价值模块，减少大型 ERP 式复杂功能。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06C78"/>
        <w:sz w:val="18"/>
      </w:rPr>
      <w:t>施工企业全流程运营托管数字化系统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06C78"/>
        <w:sz w:val="18"/>
      </w:rPr>
      <w:t>产品需求文档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