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00"/>
        <w:jc w:val="center"/>
      </w:pPr>
      <w:r>
        <w:rPr>
          <w:rFonts w:ascii="Arial" w:cs="Arial" w:hAnsi="Arial"/>
          <w:b/>
          <w:bCs/>
          <w:color w:val="0B3C5D"/>
          <w:sz w:val="36"/>
          <w:szCs w:val="36"/>
          <w:rtl/>
        </w:rPr>
        <w:t xml:space="preserve">ملخص أعمال مراجعة وتطوير مشروع التميز</w:t>
      </w:r>
    </w:p>
    <w:p>
      <w:pPr>
        <w:bidi/>
        <w:spacing w:after="60" w:before="0" w:line="300"/>
        <w:jc w:val="center"/>
      </w:pPr>
      <w:r>
        <w:rPr>
          <w:rFonts w:ascii="Arial" w:cs="Arial" w:hAnsi="Arial"/>
          <w:b/>
          <w:bCs/>
          <w:color w:val="0E8A8A"/>
          <w:sz w:val="22"/>
          <w:szCs w:val="22"/>
          <w:rtl/>
        </w:rPr>
        <w:t xml:space="preserve">«تحسين جودة وكفاءة التدريب التمريضي من خلال التحول الرقمي والتعلّم المدمج بمراكز الرعاية الصحية الأولية»</w:t>
      </w:r>
    </w:p>
    <w:p>
      <w:pPr>
        <w:bidi/>
        <w:spacing w:after="200" w:before="0" w:line="300"/>
        <w:jc w:val="center"/>
      </w:pPr>
      <w:r>
        <w:rPr>
          <w:rFonts w:ascii="Arial" w:cs="Arial" w:hAnsi="Arial"/>
          <w:color w:val="5B6E7C"/>
          <w:sz w:val="20"/>
          <w:szCs w:val="20"/>
          <w:rtl/>
        </w:rPr>
        <w:t xml:space="preserve">مسابقة التميز بجودة خدمات تقديم الرعاية الصحية – تجمع القصيم الصحي 2026</w:t>
      </w:r>
    </w:p>
    <w:p>
      <w:pPr>
        <w:pStyle w:val="Heading1"/>
        <w:bidi/>
        <w:spacing w:after="120" w:before="240" w:line="300"/>
      </w:pPr>
      <w:r>
        <w:rPr>
          <w:rFonts w:ascii="Arial" w:cs="Arial" w:hAnsi="Arial"/>
          <w:b/>
          <w:bCs/>
          <w:color w:val="0B3C5D"/>
          <w:sz w:val="28"/>
          <w:szCs w:val="28"/>
          <w:rtl/>
        </w:rPr>
        <w:t xml:space="preserve">أولًا: نطاق العمل</w:t>
      </w:r>
    </w:p>
    <w:p>
      <w:pPr>
        <w:bidi/>
        <w:spacing w:after="100" w:before="0" w:line="300"/>
        <w:jc w:val="both"/>
      </w:pPr>
      <w:r>
        <w:rPr>
          <w:rFonts w:ascii="Arial" w:cs="Arial" w:hAnsi="Arial"/>
          <w:color w:val="1D2B36"/>
          <w:sz w:val="22"/>
          <w:szCs w:val="22"/>
          <w:rtl/>
        </w:rPr>
        <w:t xml:space="preserve">روجع ملف المشروع الأصلي في ضوء دليل المشاركة في المسابقة (QHC-PEQ-ML-003-A، الإصدار الأول)، وأُعيد بناؤه على نموذج رفع المشروعات الرسمي (مرفق 1) بمكوّناته التسعة، وعلى الورق الرسمي لتجمع القصيم الصحي. وكان الهدف رفع درجة المشروع في كل معيار من معايير التقييم الخمسة، مع الحفاظ التام على بيانات المشروع الأصلية دون أي تعديل في أرقامها.</w:t>
      </w:r>
    </w:p>
    <w:p>
      <w:pPr>
        <w:pStyle w:val="Heading1"/>
        <w:bidi/>
        <w:spacing w:after="120" w:before="240" w:line="300"/>
      </w:pPr>
      <w:r>
        <w:rPr>
          <w:rFonts w:ascii="Arial" w:cs="Arial" w:hAnsi="Arial"/>
          <w:b/>
          <w:bCs/>
          <w:color w:val="0B3C5D"/>
          <w:sz w:val="28"/>
          <w:szCs w:val="28"/>
          <w:rtl/>
        </w:rPr>
        <w:t xml:space="preserve">ثانيًا: التحسينات حسب معايير التقييم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938"/>
      </w:tblGrid>
      <w:tr>
        <w:trPr>
          <w:tblHeader/>
        </w:trPr>
        <w:tc>
          <w:tcPr>
            <w:tcW w:type="dxa" w:w="2200"/>
            <w:tcBorders>
              <w:top w:val="single" w:color="A9C1D3" w:sz="4"/>
              <w:left w:val="single" w:color="A9C1D3" w:sz="4"/>
              <w:bottom w:val="single" w:color="A9C1D3" w:sz="4"/>
              <w:right w:val="single" w:color="A9C1D3" w:sz="4"/>
            </w:tcBorders>
            <w:shd w:fill="0B3C5D" w:color="auto" w:val="clear"/>
            <w:tcMar>
              <w:top w:type="dxa" w:w="70"/>
              <w:left w:type="dxa" w:w="110"/>
              <w:bottom w:type="dxa" w:w="70"/>
              <w:right w:type="dxa" w:w="110"/>
            </w:tcMar>
            <w:vAlign w:val="center"/>
          </w:tcPr>
          <w:p>
            <w:pPr>
              <w:bidi/>
              <w:spacing w:after="0" w:before="0" w:line="300"/>
              <w:jc w:val="center"/>
            </w:pPr>
            <w:r>
              <w:rPr>
                <w:rFonts w:ascii="Arial" w:cs="Arial" w:hAnsi="Arial"/>
                <w:b/>
                <w:bCs/>
                <w:color w:val="FFFFFF"/>
                <w:sz w:val="20"/>
                <w:szCs w:val="20"/>
                <w:rtl/>
              </w:rPr>
              <w:t xml:space="preserve">المعيار (الوزن)</w:t>
            </w:r>
          </w:p>
        </w:tc>
        <w:tc>
          <w:tcPr>
            <w:tcW w:type="dxa" w:w="3500"/>
            <w:tcBorders>
              <w:top w:val="single" w:color="A9C1D3" w:sz="4"/>
              <w:left w:val="single" w:color="A9C1D3" w:sz="4"/>
              <w:bottom w:val="single" w:color="A9C1D3" w:sz="4"/>
              <w:right w:val="single" w:color="A9C1D3" w:sz="4"/>
            </w:tcBorders>
            <w:shd w:fill="0B3C5D" w:color="auto" w:val="clear"/>
            <w:tcMar>
              <w:top w:type="dxa" w:w="70"/>
              <w:left w:type="dxa" w:w="110"/>
              <w:bottom w:type="dxa" w:w="70"/>
              <w:right w:type="dxa" w:w="110"/>
            </w:tcMar>
            <w:vAlign w:val="center"/>
          </w:tcPr>
          <w:p>
            <w:pPr>
              <w:bidi/>
              <w:spacing w:after="0" w:before="0" w:line="300"/>
              <w:jc w:val="center"/>
            </w:pPr>
            <w:r>
              <w:rPr>
                <w:rFonts w:ascii="Arial" w:cs="Arial" w:hAnsi="Arial"/>
                <w:b/>
                <w:bCs/>
                <w:color w:val="FFFFFF"/>
                <w:sz w:val="20"/>
                <w:szCs w:val="20"/>
                <w:rtl/>
              </w:rPr>
              <w:t xml:space="preserve">الملاحظة على الملف الأصلي</w:t>
            </w:r>
          </w:p>
        </w:tc>
        <w:tc>
          <w:tcPr>
            <w:tcW w:type="dxa" w:w="3938"/>
            <w:tcBorders>
              <w:top w:val="single" w:color="A9C1D3" w:sz="4"/>
              <w:left w:val="single" w:color="A9C1D3" w:sz="4"/>
              <w:bottom w:val="single" w:color="A9C1D3" w:sz="4"/>
              <w:right w:val="single" w:color="A9C1D3" w:sz="4"/>
            </w:tcBorders>
            <w:shd w:fill="0B3C5D" w:color="auto" w:val="clear"/>
            <w:tcMar>
              <w:top w:type="dxa" w:w="70"/>
              <w:left w:type="dxa" w:w="110"/>
              <w:bottom w:type="dxa" w:w="70"/>
              <w:right w:type="dxa" w:w="110"/>
            </w:tcMar>
            <w:vAlign w:val="center"/>
          </w:tcPr>
          <w:p>
            <w:pPr>
              <w:bidi/>
              <w:spacing w:after="0" w:before="0" w:line="300"/>
              <w:jc w:val="center"/>
            </w:pPr>
            <w:r>
              <w:rPr>
                <w:rFonts w:ascii="Arial" w:cs="Arial" w:hAnsi="Arial"/>
                <w:b/>
                <w:bCs/>
                <w:color w:val="FFFFFF"/>
                <w:sz w:val="20"/>
                <w:szCs w:val="20"/>
                <w:rtl/>
              </w:rPr>
              <w:t xml:space="preserve">ما تم إنجازه</w:t>
            </w:r>
          </w:p>
        </w:tc>
      </w:tr>
      <w:tr>
        <w:trPr>
          <w:cantSplit/>
        </w:trPr>
        <w:tc>
          <w:tcPr>
            <w:tcW w:type="dxa" w:w="2200"/>
            <w:tcBorders>
              <w:top w:val="single" w:color="A9C1D3" w:sz="4"/>
              <w:left w:val="single" w:color="A9C1D3" w:sz="4"/>
              <w:bottom w:val="single" w:color="A9C1D3" w:sz="4"/>
              <w:right w:val="single" w:color="A9C1D3" w:sz="4"/>
            </w:tcBorders>
            <w:shd w:fill="EAF4FA" w:color="auto" w:val="clear"/>
            <w:tcMar>
              <w:top w:type="dxa" w:w="70"/>
              <w:left w:type="dxa" w:w="110"/>
              <w:bottom w:type="dxa" w:w="70"/>
              <w:right w:type="dxa" w:w="110"/>
            </w:tcMar>
            <w:vAlign w:val="center"/>
          </w:tcPr>
          <w:p>
            <w:pPr>
              <w:bidi/>
              <w:spacing w:after="0" w:before="0" w:line="300"/>
            </w:pPr>
            <w:r>
              <w:rPr>
                <w:rFonts w:ascii="Arial" w:cs="Arial" w:hAnsi="Arial"/>
                <w:b/>
                <w:bCs/>
                <w:color w:val="0B3C5D"/>
                <w:sz w:val="20"/>
                <w:szCs w:val="20"/>
                <w:rtl/>
              </w:rPr>
              <w:t xml:space="preserve">1. الالتزام بنموذج المشروع (10%)</w:t>
            </w:r>
          </w:p>
        </w:tc>
        <w:tc>
          <w:tcPr>
            <w:tcW w:type="dxa" w:w="35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غياب خانات الاختيار في اختصاص المشروع والنتائج والقيمة، وعدم تطابق مسميات الأقسام مع النموذج.</w:t>
            </w:r>
          </w:p>
        </w:tc>
        <w:tc>
          <w:tcPr>
            <w:tcW w:type="dxa" w:w="3938"/>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إعادة جميع أقسام النموذج التسعة بمسمياتها الرسمية (عربي/إنجليزي) مع خانات الاختيار وقسمي الفريق والاعتماد.</w:t>
            </w:r>
          </w:p>
        </w:tc>
      </w:tr>
      <w:tr>
        <w:trPr>
          <w:cantSplit/>
        </w:trPr>
        <w:tc>
          <w:tcPr>
            <w:tcW w:type="dxa" w:w="2200"/>
            <w:tcBorders>
              <w:top w:val="single" w:color="A9C1D3" w:sz="4"/>
              <w:left w:val="single" w:color="A9C1D3" w:sz="4"/>
              <w:bottom w:val="single" w:color="A9C1D3" w:sz="4"/>
              <w:right w:val="single" w:color="A9C1D3" w:sz="4"/>
            </w:tcBorders>
            <w:shd w:fill="EAF4FA" w:color="auto" w:val="clear"/>
            <w:tcMar>
              <w:top w:type="dxa" w:w="70"/>
              <w:left w:type="dxa" w:w="110"/>
              <w:bottom w:type="dxa" w:w="70"/>
              <w:right w:type="dxa" w:w="110"/>
            </w:tcMar>
            <w:vAlign w:val="center"/>
          </w:tcPr>
          <w:p>
            <w:pPr>
              <w:bidi/>
              <w:spacing w:after="0" w:before="0" w:line="300"/>
            </w:pPr>
            <w:r>
              <w:rPr>
                <w:rFonts w:ascii="Arial" w:cs="Arial" w:hAnsi="Arial"/>
                <w:b/>
                <w:bCs/>
                <w:color w:val="0B3C5D"/>
                <w:sz w:val="20"/>
                <w:szCs w:val="20"/>
                <w:rtl/>
              </w:rPr>
              <w:t xml:space="preserve">2. الالتزام بمنهجية FOCUS-PDCA (15%)</w:t>
            </w:r>
          </w:p>
        </w:tc>
        <w:tc>
          <w:tcPr>
            <w:tcW w:type="dxa" w:w="35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الخطوات غير مسماة وفق النموذج، ولا يُفصل فيها «الوصف» عن «الأداة».</w:t>
            </w:r>
          </w:p>
        </w:tc>
        <w:tc>
          <w:tcPr>
            <w:tcW w:type="dxa" w:w="3938"/>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توثيق الخطوات التسع كاملة بمسمياتها الرسمية، ولكل خطوة وصف وأداة جودة محددة (الدرجة 5 تُمنح لأكثر من 7 خطوات).</w:t>
            </w:r>
          </w:p>
        </w:tc>
      </w:tr>
      <w:tr>
        <w:trPr>
          <w:cantSplit/>
        </w:trPr>
        <w:tc>
          <w:tcPr>
            <w:tcW w:type="dxa" w:w="2200"/>
            <w:tcBorders>
              <w:top w:val="single" w:color="A9C1D3" w:sz="4"/>
              <w:left w:val="single" w:color="A9C1D3" w:sz="4"/>
              <w:bottom w:val="single" w:color="A9C1D3" w:sz="4"/>
              <w:right w:val="single" w:color="A9C1D3" w:sz="4"/>
            </w:tcBorders>
            <w:shd w:fill="EAF4FA" w:color="auto" w:val="clear"/>
            <w:tcMar>
              <w:top w:type="dxa" w:w="70"/>
              <w:left w:type="dxa" w:w="110"/>
              <w:bottom w:type="dxa" w:w="70"/>
              <w:right w:type="dxa" w:w="110"/>
            </w:tcMar>
            <w:vAlign w:val="center"/>
          </w:tcPr>
          <w:p>
            <w:pPr>
              <w:bidi/>
              <w:spacing w:after="0" w:before="0" w:line="300"/>
            </w:pPr>
            <w:r>
              <w:rPr>
                <w:rFonts w:ascii="Arial" w:cs="Arial" w:hAnsi="Arial"/>
                <w:b/>
                <w:bCs/>
                <w:color w:val="0B3C5D"/>
                <w:sz w:val="20"/>
                <w:szCs w:val="20"/>
                <w:rtl/>
              </w:rPr>
              <w:t xml:space="preserve">3. وضوح الأدوات والأدلة (15%)</w:t>
            </w:r>
          </w:p>
        </w:tc>
        <w:tc>
          <w:tcPr>
            <w:tcW w:type="dxa" w:w="35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المخططات تظهر بها رموز مكسورة (□) مكان علامة % والأيقونات، وعناوين متداخلة، ومخطط عظمة السمكة غير مقروء.</w:t>
            </w:r>
          </w:p>
        </w:tc>
        <w:tc>
          <w:tcPr>
            <w:tcW w:type="dxa" w:w="3938"/>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إعادة رسم 11 مخططًا بدقة عالية وخط عربي واضح، وإضافة أدوات جديدة: RACI، و«لماذا الخمس»، ومخطط جانت، ومخطط التشغيل، وخطة الضبط.</w:t>
            </w:r>
          </w:p>
        </w:tc>
      </w:tr>
      <w:tr>
        <w:trPr>
          <w:cantSplit/>
        </w:trPr>
        <w:tc>
          <w:tcPr>
            <w:tcW w:type="dxa" w:w="2200"/>
            <w:tcBorders>
              <w:top w:val="single" w:color="A9C1D3" w:sz="4"/>
              <w:left w:val="single" w:color="A9C1D3" w:sz="4"/>
              <w:bottom w:val="single" w:color="A9C1D3" w:sz="4"/>
              <w:right w:val="single" w:color="A9C1D3" w:sz="4"/>
            </w:tcBorders>
            <w:shd w:fill="EAF4FA" w:color="auto" w:val="clear"/>
            <w:tcMar>
              <w:top w:type="dxa" w:w="70"/>
              <w:left w:type="dxa" w:w="110"/>
              <w:bottom w:type="dxa" w:w="70"/>
              <w:right w:type="dxa" w:w="110"/>
            </w:tcMar>
            <w:vAlign w:val="center"/>
          </w:tcPr>
          <w:p>
            <w:pPr>
              <w:bidi/>
              <w:spacing w:after="0" w:before="0" w:line="300"/>
            </w:pPr>
            <w:r>
              <w:rPr>
                <w:rFonts w:ascii="Arial" w:cs="Arial" w:hAnsi="Arial"/>
                <w:b/>
                <w:bCs/>
                <w:color w:val="0B3C5D"/>
                <w:sz w:val="20"/>
                <w:szCs w:val="20"/>
                <w:rtl/>
              </w:rPr>
              <w:t xml:space="preserve">4. تحقيق النتائج (30%)</w:t>
            </w:r>
          </w:p>
        </w:tc>
        <w:tc>
          <w:tcPr>
            <w:tcW w:type="dxa" w:w="35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الهدف بلا أرقام مستهدفة رغم أن النموذج يشترط ذكر المستهدف رقمًا أو نسبة (الثغرة الأكبر).</w:t>
            </w:r>
          </w:p>
        </w:tc>
        <w:tc>
          <w:tcPr>
            <w:tcW w:type="dxa" w:w="3938"/>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صياغة هدف ذكي بأربعة مستهدفات رقمية، وجدول نتائج (خط الأساس – المستهدف – المتحقق – التحسن – الحالة – كيف؟).</w:t>
            </w:r>
          </w:p>
        </w:tc>
      </w:tr>
      <w:tr>
        <w:trPr>
          <w:cantSplit/>
        </w:trPr>
        <w:tc>
          <w:tcPr>
            <w:tcW w:type="dxa" w:w="2200"/>
            <w:tcBorders>
              <w:top w:val="single" w:color="A9C1D3" w:sz="4"/>
              <w:left w:val="single" w:color="A9C1D3" w:sz="4"/>
              <w:bottom w:val="single" w:color="A9C1D3" w:sz="4"/>
              <w:right w:val="single" w:color="A9C1D3" w:sz="4"/>
            </w:tcBorders>
            <w:shd w:fill="EAF4FA" w:color="auto" w:val="clear"/>
            <w:tcMar>
              <w:top w:type="dxa" w:w="70"/>
              <w:left w:type="dxa" w:w="110"/>
              <w:bottom w:type="dxa" w:w="70"/>
              <w:right w:type="dxa" w:w="110"/>
            </w:tcMar>
            <w:vAlign w:val="center"/>
          </w:tcPr>
          <w:p>
            <w:pPr>
              <w:bidi/>
              <w:spacing w:after="0" w:before="0" w:line="300"/>
            </w:pPr>
            <w:r>
              <w:rPr>
                <w:rFonts w:ascii="Arial" w:cs="Arial" w:hAnsi="Arial"/>
                <w:b/>
                <w:bCs/>
                <w:color w:val="0B3C5D"/>
                <w:sz w:val="20"/>
                <w:szCs w:val="20"/>
                <w:rtl/>
              </w:rPr>
              <w:t xml:space="preserve">5. القيمة المضافة (30%)</w:t>
            </w:r>
          </w:p>
        </w:tc>
        <w:tc>
          <w:tcPr>
            <w:tcW w:type="dxa" w:w="35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وصف عام للقيمة دون ربط بأبعاد الجودة المحددة في الدليل.</w:t>
            </w:r>
          </w:p>
        </w:tc>
        <w:tc>
          <w:tcPr>
            <w:tcW w:type="dxa" w:w="3938"/>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جدول يربط التحسن بأبعاد الدليل الأربعة مع دليل لكل بُعد، وربط المشروع بمفهوم الرعاية القائمة على القيمة.</w:t>
            </w:r>
          </w:p>
        </w:tc>
      </w:tr>
    </w:tbl>
    <w:p>
      <w:pPr>
        <w:pStyle w:val="Heading1"/>
        <w:bidi/>
        <w:spacing w:after="120" w:before="240" w:line="300"/>
      </w:pPr>
      <w:r>
        <w:rPr>
          <w:rFonts w:ascii="Arial" w:cs="Arial" w:hAnsi="Arial"/>
          <w:b/>
          <w:bCs/>
          <w:color w:val="0B3C5D"/>
          <w:sz w:val="28"/>
          <w:szCs w:val="28"/>
          <w:rtl/>
        </w:rPr>
        <w:t xml:space="preserve">ثالثًا: التحسينات حسب أقسام النموذج</w:t>
      </w:r>
    </w:p>
    <w:p>
      <w:pPr>
        <w:pStyle w:val="ListParagraph"/>
        <w:numPr>
          <w:ilvl w:val="0"/>
          <w:numId w:val="2"/>
        </w:numPr>
        <w:bidi/>
        <w:spacing w:after="60" w:before="0" w:line="300"/>
      </w:pPr>
      <w:r>
        <w:rPr>
          <w:rFonts w:ascii="Arial" w:cs="Arial" w:hAnsi="Arial"/>
          <w:b/>
          <w:bCs/>
          <w:color w:val="1D2B36"/>
          <w:sz w:val="22"/>
          <w:szCs w:val="22"/>
          <w:rtl/>
        </w:rPr>
        <w:t xml:space="preserve">بيانات المشروع: </w:t>
      </w:r>
      <w:r>
        <w:rPr>
          <w:rFonts w:ascii="Arial" w:cs="Arial" w:hAnsi="Arial"/>
          <w:color w:val="1D2B36"/>
          <w:sz w:val="22"/>
          <w:szCs w:val="22"/>
          <w:rtl/>
        </w:rPr>
        <w:t xml:space="preserve">توضيح الأقسام المشاركة (الدعم التقني والمراكز الصحية العشرة)، وتحديد اختصاص المشروع: الفاعلية والكفاءة ومحورية المستفيد، مع الإشارة إلى أثر السلامة غير المباشر.</w:t>
      </w:r>
    </w:p>
    <w:p>
      <w:pPr>
        <w:pStyle w:val="ListParagraph"/>
        <w:numPr>
          <w:ilvl w:val="0"/>
          <w:numId w:val="2"/>
        </w:numPr>
        <w:bidi/>
        <w:spacing w:after="60" w:before="0" w:line="300"/>
      </w:pPr>
      <w:r>
        <w:rPr>
          <w:rFonts w:ascii="Arial" w:cs="Arial" w:hAnsi="Arial"/>
          <w:b/>
          <w:bCs/>
          <w:color w:val="1D2B36"/>
          <w:sz w:val="22"/>
          <w:szCs w:val="22"/>
          <w:rtl/>
        </w:rPr>
        <w:t xml:space="preserve">صياغة المشكلة: </w:t>
      </w:r>
      <w:r>
        <w:rPr>
          <w:rFonts w:ascii="Arial" w:cs="Arial" w:hAnsi="Arial"/>
          <w:color w:val="1D2B36"/>
          <w:sz w:val="22"/>
          <w:szCs w:val="22"/>
          <w:rtl/>
        </w:rPr>
        <w:t xml:space="preserve">إعادة صياغتها بالأرقام: متوسط إنجاز مرجح 69.60% مقابل مستهدف 100% (فجوة 30.40 نقطة مئوية)، مع تحديد السبب التشغيلي وأثره على جاهزية الكادر.</w:t>
      </w:r>
    </w:p>
    <w:p>
      <w:pPr>
        <w:pStyle w:val="ListParagraph"/>
        <w:numPr>
          <w:ilvl w:val="0"/>
          <w:numId w:val="2"/>
        </w:numPr>
        <w:bidi/>
        <w:spacing w:after="60" w:before="0" w:line="300"/>
      </w:pPr>
      <w:r>
        <w:rPr>
          <w:rFonts w:ascii="Arial" w:cs="Arial" w:hAnsi="Arial"/>
          <w:b/>
          <w:bCs/>
          <w:color w:val="1D2B36"/>
          <w:sz w:val="22"/>
          <w:szCs w:val="22"/>
          <w:rtl/>
        </w:rPr>
        <w:t xml:space="preserve">الهدف الذكي (SMART): </w:t>
      </w:r>
      <w:r>
        <w:rPr>
          <w:rFonts w:ascii="Arial" w:cs="Arial" w:hAnsi="Arial"/>
          <w:color w:val="1D2B36"/>
          <w:sz w:val="22"/>
          <w:szCs w:val="22"/>
          <w:rtl/>
        </w:rPr>
        <w:t xml:space="preserve">رفع الإنجاز من 69.60% إلى 100%، واستخدام المنصة ≥ 80%، وتحسّن ≥ 10 نقاط بين الاختبارين القبلي والبعدي، ومتوسط ≥ 80% في اختبار الاحتفاظ، خلال مارس – أكتوبر 2026.</w:t>
      </w:r>
    </w:p>
    <w:p>
      <w:pPr>
        <w:pStyle w:val="ListParagraph"/>
        <w:numPr>
          <w:ilvl w:val="0"/>
          <w:numId w:val="2"/>
        </w:numPr>
        <w:bidi/>
        <w:spacing w:after="60" w:before="0" w:line="300"/>
      </w:pPr>
      <w:r>
        <w:rPr>
          <w:rFonts w:ascii="Arial" w:cs="Arial" w:hAnsi="Arial"/>
          <w:b/>
          <w:bCs/>
          <w:color w:val="1D2B36"/>
          <w:sz w:val="22"/>
          <w:szCs w:val="22"/>
          <w:rtl/>
        </w:rPr>
        <w:t xml:space="preserve">خطوات FOCUS: </w:t>
      </w:r>
      <w:r>
        <w:rPr>
          <w:rFonts w:ascii="Arial" w:cs="Arial" w:hAnsi="Arial"/>
          <w:color w:val="1D2B36"/>
          <w:sz w:val="22"/>
          <w:szCs w:val="22"/>
          <w:rtl/>
        </w:rPr>
        <w:t xml:space="preserve">تحليل الفجوات، ومصفوفة RACI، ومخطط العملية قبل/بعد (4 نقاط هدر)، وعظمة السمكة (6 محاور) مع «لماذا الخمس» وسببين جذريين محددين، ومصفوفة مفاضلة بين 3 بدائل وفق 6 معايير.</w:t>
      </w:r>
    </w:p>
    <w:p>
      <w:pPr>
        <w:pStyle w:val="ListParagraph"/>
        <w:numPr>
          <w:ilvl w:val="0"/>
          <w:numId w:val="2"/>
        </w:numPr>
        <w:bidi/>
        <w:spacing w:after="60" w:before="0" w:line="300"/>
      </w:pPr>
      <w:r>
        <w:rPr>
          <w:rFonts w:ascii="Arial" w:cs="Arial" w:hAnsi="Arial"/>
          <w:b/>
          <w:bCs/>
          <w:color w:val="1D2B36"/>
          <w:sz w:val="22"/>
          <w:szCs w:val="22"/>
          <w:rtl/>
        </w:rPr>
        <w:t xml:space="preserve">خطوات PDCA: </w:t>
      </w:r>
      <w:r>
        <w:rPr>
          <w:rFonts w:ascii="Arial" w:cs="Arial" w:hAnsi="Arial"/>
          <w:color w:val="1D2B36"/>
          <w:sz w:val="22"/>
          <w:szCs w:val="22"/>
          <w:rtl/>
        </w:rPr>
        <w:t xml:space="preserve">خطة بخمس مراحل ومخطط جانت، وتجربة على نطاق صغير بالمراكز الطرفية ثم التعميم، وقياس الأثر على مستوى «التعلّم» في نموذج Kirkpatrick، وخطة ضبط تحدد لكل مؤشر تكرار المتابعة وحدّ التدخل.</w:t>
      </w:r>
    </w:p>
    <w:p>
      <w:pPr>
        <w:pStyle w:val="ListParagraph"/>
        <w:numPr>
          <w:ilvl w:val="0"/>
          <w:numId w:val="2"/>
        </w:numPr>
        <w:bidi/>
        <w:spacing w:after="60" w:before="0" w:line="300"/>
      </w:pPr>
      <w:r>
        <w:rPr>
          <w:rFonts w:ascii="Arial" w:cs="Arial" w:hAnsi="Arial"/>
          <w:b/>
          <w:bCs/>
          <w:color w:val="1D2B36"/>
          <w:sz w:val="22"/>
          <w:szCs w:val="22"/>
          <w:rtl/>
        </w:rPr>
        <w:t xml:space="preserve">النتائج: </w:t>
      </w:r>
      <w:r>
        <w:rPr>
          <w:rFonts w:ascii="Arial" w:cs="Arial" w:hAnsi="Arial"/>
          <w:color w:val="1D2B36"/>
          <w:sz w:val="22"/>
          <w:szCs w:val="22"/>
          <w:rtl/>
        </w:rPr>
        <w:t xml:space="preserve">جدول لخمسة مؤشرات: تحقق مؤشران وتجاوز ثلاثة مستهدفاتها، مع مخطط تشغيل يوضح الوضع قبل المشروع وبعده.</w:t>
      </w:r>
    </w:p>
    <w:p>
      <w:pPr>
        <w:pStyle w:val="ListParagraph"/>
        <w:numPr>
          <w:ilvl w:val="0"/>
          <w:numId w:val="2"/>
        </w:numPr>
        <w:bidi/>
        <w:spacing w:after="60" w:before="0" w:line="300"/>
      </w:pPr>
      <w:r>
        <w:rPr>
          <w:rFonts w:ascii="Arial" w:cs="Arial" w:hAnsi="Arial"/>
          <w:b/>
          <w:bCs/>
          <w:color w:val="1D2B36"/>
          <w:sz w:val="22"/>
          <w:szCs w:val="22"/>
          <w:rtl/>
        </w:rPr>
        <w:t xml:space="preserve">القيمة المضافة: </w:t>
      </w:r>
      <w:r>
        <w:rPr>
          <w:rFonts w:ascii="Arial" w:cs="Arial" w:hAnsi="Arial"/>
          <w:color w:val="1D2B36"/>
          <w:sz w:val="22"/>
          <w:szCs w:val="22"/>
          <w:rtl/>
        </w:rPr>
        <w:t xml:space="preserve">تحديد خانات القيمة بدقة دون ادعاء وفورات مالية غير مقاسة، وإضافة جدول الأبعاد الأربعة وقسم للمراجع العلمية.</w:t>
      </w:r>
    </w:p>
    <w:p>
      <w:pPr>
        <w:pStyle w:val="Heading1"/>
        <w:bidi/>
        <w:spacing w:after="120" w:before="240" w:line="300"/>
      </w:pPr>
      <w:r>
        <w:rPr>
          <w:rFonts w:ascii="Arial" w:cs="Arial" w:hAnsi="Arial"/>
          <w:b/>
          <w:bCs/>
          <w:color w:val="0B3C5D"/>
          <w:sz w:val="28"/>
          <w:szCs w:val="28"/>
          <w:rtl/>
        </w:rPr>
        <w:t xml:space="preserve">رابعًا: المؤشرات الرئيسية المعروضة في الملف</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2238"/>
      </w:tblGrid>
      <w:tr>
        <w:trPr>
          <w:tblHeader/>
        </w:trPr>
        <w:tc>
          <w:tcPr>
            <w:tcW w:type="dxa" w:w="3600"/>
            <w:tcBorders>
              <w:top w:val="single" w:color="A9C1D3" w:sz="4"/>
              <w:left w:val="single" w:color="A9C1D3" w:sz="4"/>
              <w:bottom w:val="single" w:color="A9C1D3" w:sz="4"/>
              <w:right w:val="single" w:color="A9C1D3" w:sz="4"/>
            </w:tcBorders>
            <w:shd w:fill="0B3C5D" w:color="auto" w:val="clear"/>
            <w:tcMar>
              <w:top w:type="dxa" w:w="70"/>
              <w:left w:type="dxa" w:w="110"/>
              <w:bottom w:type="dxa" w:w="70"/>
              <w:right w:type="dxa" w:w="110"/>
            </w:tcMar>
            <w:vAlign w:val="center"/>
          </w:tcPr>
          <w:p>
            <w:pPr>
              <w:bidi/>
              <w:spacing w:after="0" w:before="0" w:line="300"/>
              <w:jc w:val="center"/>
            </w:pPr>
            <w:r>
              <w:rPr>
                <w:rFonts w:ascii="Arial" w:cs="Arial" w:hAnsi="Arial"/>
                <w:b/>
                <w:bCs/>
                <w:color w:val="FFFFFF"/>
                <w:sz w:val="20"/>
                <w:szCs w:val="20"/>
                <w:rtl/>
              </w:rPr>
              <w:t xml:space="preserve">المؤشر</w:t>
            </w:r>
          </w:p>
        </w:tc>
        <w:tc>
          <w:tcPr>
            <w:tcW w:type="dxa" w:w="1900"/>
            <w:tcBorders>
              <w:top w:val="single" w:color="A9C1D3" w:sz="4"/>
              <w:left w:val="single" w:color="A9C1D3" w:sz="4"/>
              <w:bottom w:val="single" w:color="A9C1D3" w:sz="4"/>
              <w:right w:val="single" w:color="A9C1D3" w:sz="4"/>
            </w:tcBorders>
            <w:shd w:fill="0B3C5D" w:color="auto" w:val="clear"/>
            <w:tcMar>
              <w:top w:type="dxa" w:w="70"/>
              <w:left w:type="dxa" w:w="110"/>
              <w:bottom w:type="dxa" w:w="70"/>
              <w:right w:type="dxa" w:w="110"/>
            </w:tcMar>
            <w:vAlign w:val="center"/>
          </w:tcPr>
          <w:p>
            <w:pPr>
              <w:bidi/>
              <w:spacing w:after="0" w:before="0" w:line="300"/>
              <w:jc w:val="center"/>
            </w:pPr>
            <w:r>
              <w:rPr>
                <w:rFonts w:ascii="Arial" w:cs="Arial" w:hAnsi="Arial"/>
                <w:b/>
                <w:bCs/>
                <w:color w:val="FFFFFF"/>
                <w:sz w:val="20"/>
                <w:szCs w:val="20"/>
                <w:rtl/>
              </w:rPr>
              <w:t xml:space="preserve">خط الأساس</w:t>
            </w:r>
          </w:p>
        </w:tc>
        <w:tc>
          <w:tcPr>
            <w:tcW w:type="dxa" w:w="1900"/>
            <w:tcBorders>
              <w:top w:val="single" w:color="A9C1D3" w:sz="4"/>
              <w:left w:val="single" w:color="A9C1D3" w:sz="4"/>
              <w:bottom w:val="single" w:color="A9C1D3" w:sz="4"/>
              <w:right w:val="single" w:color="A9C1D3" w:sz="4"/>
            </w:tcBorders>
            <w:shd w:fill="0B3C5D" w:color="auto" w:val="clear"/>
            <w:tcMar>
              <w:top w:type="dxa" w:w="70"/>
              <w:left w:type="dxa" w:w="110"/>
              <w:bottom w:type="dxa" w:w="70"/>
              <w:right w:type="dxa" w:w="110"/>
            </w:tcMar>
            <w:vAlign w:val="center"/>
          </w:tcPr>
          <w:p>
            <w:pPr>
              <w:bidi/>
              <w:spacing w:after="0" w:before="0" w:line="300"/>
              <w:jc w:val="center"/>
            </w:pPr>
            <w:r>
              <w:rPr>
                <w:rFonts w:ascii="Arial" w:cs="Arial" w:hAnsi="Arial"/>
                <w:b/>
                <w:bCs/>
                <w:color w:val="FFFFFF"/>
                <w:sz w:val="20"/>
                <w:szCs w:val="20"/>
                <w:rtl/>
              </w:rPr>
              <w:t xml:space="preserve">المستهدف</w:t>
            </w:r>
          </w:p>
        </w:tc>
        <w:tc>
          <w:tcPr>
            <w:tcW w:type="dxa" w:w="2238"/>
            <w:tcBorders>
              <w:top w:val="single" w:color="A9C1D3" w:sz="4"/>
              <w:left w:val="single" w:color="A9C1D3" w:sz="4"/>
              <w:bottom w:val="single" w:color="A9C1D3" w:sz="4"/>
              <w:right w:val="single" w:color="A9C1D3" w:sz="4"/>
            </w:tcBorders>
            <w:shd w:fill="0B3C5D" w:color="auto" w:val="clear"/>
            <w:tcMar>
              <w:top w:type="dxa" w:w="70"/>
              <w:left w:type="dxa" w:w="110"/>
              <w:bottom w:type="dxa" w:w="70"/>
              <w:right w:type="dxa" w:w="110"/>
            </w:tcMar>
            <w:vAlign w:val="center"/>
          </w:tcPr>
          <w:p>
            <w:pPr>
              <w:bidi/>
              <w:spacing w:after="0" w:before="0" w:line="300"/>
              <w:jc w:val="center"/>
            </w:pPr>
            <w:r>
              <w:rPr>
                <w:rFonts w:ascii="Arial" w:cs="Arial" w:hAnsi="Arial"/>
                <w:b/>
                <w:bCs/>
                <w:color w:val="FFFFFF"/>
                <w:sz w:val="20"/>
                <w:szCs w:val="20"/>
                <w:rtl/>
              </w:rPr>
              <w:t xml:space="preserve">المتحقق</w:t>
            </w:r>
          </w:p>
        </w:tc>
      </w:tr>
      <w:tr>
        <w:trPr>
          <w:cantSplit/>
        </w:trPr>
        <w:tc>
          <w:tcPr>
            <w:tcW w:type="dxa" w:w="3600"/>
            <w:tcBorders>
              <w:top w:val="single" w:color="A9C1D3" w:sz="4"/>
              <w:left w:val="single" w:color="A9C1D3" w:sz="4"/>
              <w:bottom w:val="single" w:color="A9C1D3" w:sz="4"/>
              <w:right w:val="single" w:color="A9C1D3" w:sz="4"/>
            </w:tcBorders>
            <w:shd w:fill="EAF4FA" w:color="auto" w:val="clear"/>
            <w:tcMar>
              <w:top w:type="dxa" w:w="70"/>
              <w:left w:type="dxa" w:w="110"/>
              <w:bottom w:type="dxa" w:w="70"/>
              <w:right w:type="dxa" w:w="110"/>
            </w:tcMar>
            <w:vAlign w:val="center"/>
          </w:tcPr>
          <w:p>
            <w:pPr>
              <w:bidi/>
              <w:spacing w:after="0" w:before="0" w:line="300"/>
            </w:pPr>
            <w:r>
              <w:rPr>
                <w:rFonts w:ascii="Arial" w:cs="Arial" w:hAnsi="Arial"/>
                <w:b/>
                <w:bCs/>
                <w:color w:val="0B3C5D"/>
                <w:sz w:val="20"/>
                <w:szCs w:val="20"/>
                <w:rtl/>
              </w:rPr>
              <w:t xml:space="preserve">إنجاز المستهدفات الأكاديمية</w:t>
            </w:r>
          </w:p>
        </w:tc>
        <w:tc>
          <w:tcPr>
            <w:tcW w:type="dxa" w:w="19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69.60%</w:t>
            </w:r>
          </w:p>
        </w:tc>
        <w:tc>
          <w:tcPr>
            <w:tcW w:type="dxa" w:w="19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100%</w:t>
            </w:r>
          </w:p>
        </w:tc>
        <w:tc>
          <w:tcPr>
            <w:tcW w:type="dxa" w:w="2238"/>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100%</w:t>
            </w:r>
          </w:p>
        </w:tc>
      </w:tr>
      <w:tr>
        <w:trPr>
          <w:cantSplit/>
        </w:trPr>
        <w:tc>
          <w:tcPr>
            <w:tcW w:type="dxa" w:w="3600"/>
            <w:tcBorders>
              <w:top w:val="single" w:color="A9C1D3" w:sz="4"/>
              <w:left w:val="single" w:color="A9C1D3" w:sz="4"/>
              <w:bottom w:val="single" w:color="A9C1D3" w:sz="4"/>
              <w:right w:val="single" w:color="A9C1D3" w:sz="4"/>
            </w:tcBorders>
            <w:shd w:fill="EAF4FA" w:color="auto" w:val="clear"/>
            <w:tcMar>
              <w:top w:type="dxa" w:w="70"/>
              <w:left w:type="dxa" w:w="110"/>
              <w:bottom w:type="dxa" w:w="70"/>
              <w:right w:type="dxa" w:w="110"/>
            </w:tcMar>
            <w:vAlign w:val="center"/>
          </w:tcPr>
          <w:p>
            <w:pPr>
              <w:bidi/>
              <w:spacing w:after="0" w:before="0" w:line="300"/>
            </w:pPr>
            <w:r>
              <w:rPr>
                <w:rFonts w:ascii="Arial" w:cs="Arial" w:hAnsi="Arial"/>
                <w:b/>
                <w:bCs/>
                <w:color w:val="0B3C5D"/>
                <w:sz w:val="20"/>
                <w:szCs w:val="20"/>
                <w:rtl/>
              </w:rPr>
              <w:t xml:space="preserve">استخدام المنصة من المستهدفين</w:t>
            </w:r>
          </w:p>
        </w:tc>
        <w:tc>
          <w:tcPr>
            <w:tcW w:type="dxa" w:w="19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w:t>
            </w:r>
          </w:p>
        </w:tc>
        <w:tc>
          <w:tcPr>
            <w:tcW w:type="dxa" w:w="19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 80%</w:t>
            </w:r>
          </w:p>
        </w:tc>
        <w:tc>
          <w:tcPr>
            <w:tcW w:type="dxa" w:w="2238"/>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81.8% (45 من 55)</w:t>
            </w:r>
          </w:p>
        </w:tc>
      </w:tr>
      <w:tr>
        <w:trPr>
          <w:cantSplit/>
        </w:trPr>
        <w:tc>
          <w:tcPr>
            <w:tcW w:type="dxa" w:w="3600"/>
            <w:tcBorders>
              <w:top w:val="single" w:color="A9C1D3" w:sz="4"/>
              <w:left w:val="single" w:color="A9C1D3" w:sz="4"/>
              <w:bottom w:val="single" w:color="A9C1D3" w:sz="4"/>
              <w:right w:val="single" w:color="A9C1D3" w:sz="4"/>
            </w:tcBorders>
            <w:shd w:fill="EAF4FA" w:color="auto" w:val="clear"/>
            <w:tcMar>
              <w:top w:type="dxa" w:w="70"/>
              <w:left w:type="dxa" w:w="110"/>
              <w:bottom w:type="dxa" w:w="70"/>
              <w:right w:type="dxa" w:w="110"/>
            </w:tcMar>
            <w:vAlign w:val="center"/>
          </w:tcPr>
          <w:p>
            <w:pPr>
              <w:bidi/>
              <w:spacing w:after="0" w:before="0" w:line="300"/>
            </w:pPr>
            <w:r>
              <w:rPr>
                <w:rFonts w:ascii="Arial" w:cs="Arial" w:hAnsi="Arial"/>
                <w:b/>
                <w:bCs/>
                <w:color w:val="0B3C5D"/>
                <w:sz w:val="20"/>
                <w:szCs w:val="20"/>
                <w:rtl/>
              </w:rPr>
              <w:t xml:space="preserve">الفرق بين الاختبارين القبلي والبعدي</w:t>
            </w:r>
          </w:p>
        </w:tc>
        <w:tc>
          <w:tcPr>
            <w:tcW w:type="dxa" w:w="19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78.45%</w:t>
            </w:r>
          </w:p>
        </w:tc>
        <w:tc>
          <w:tcPr>
            <w:tcW w:type="dxa" w:w="19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 +10 نقاط</w:t>
            </w:r>
          </w:p>
        </w:tc>
        <w:tc>
          <w:tcPr>
            <w:tcW w:type="dxa" w:w="2238"/>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90.66% (+12.21 نقطة)</w:t>
            </w:r>
          </w:p>
        </w:tc>
      </w:tr>
      <w:tr>
        <w:trPr>
          <w:cantSplit/>
        </w:trPr>
        <w:tc>
          <w:tcPr>
            <w:tcW w:type="dxa" w:w="3600"/>
            <w:tcBorders>
              <w:top w:val="single" w:color="A9C1D3" w:sz="4"/>
              <w:left w:val="single" w:color="A9C1D3" w:sz="4"/>
              <w:bottom w:val="single" w:color="A9C1D3" w:sz="4"/>
              <w:right w:val="single" w:color="A9C1D3" w:sz="4"/>
            </w:tcBorders>
            <w:shd w:fill="EAF4FA" w:color="auto" w:val="clear"/>
            <w:tcMar>
              <w:top w:type="dxa" w:w="70"/>
              <w:left w:type="dxa" w:w="110"/>
              <w:bottom w:type="dxa" w:w="70"/>
              <w:right w:type="dxa" w:w="110"/>
            </w:tcMar>
            <w:vAlign w:val="center"/>
          </w:tcPr>
          <w:p>
            <w:pPr>
              <w:bidi/>
              <w:spacing w:after="0" w:before="0" w:line="300"/>
            </w:pPr>
            <w:r>
              <w:rPr>
                <w:rFonts w:ascii="Arial" w:cs="Arial" w:hAnsi="Arial"/>
                <w:b/>
                <w:bCs/>
                <w:color w:val="0B3C5D"/>
                <w:sz w:val="20"/>
                <w:szCs w:val="20"/>
                <w:rtl/>
              </w:rPr>
              <w:t xml:space="preserve">اختبار الاحتفاظ اللاحق</w:t>
            </w:r>
          </w:p>
        </w:tc>
        <w:tc>
          <w:tcPr>
            <w:tcW w:type="dxa" w:w="19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غير مُقاس</w:t>
            </w:r>
          </w:p>
        </w:tc>
        <w:tc>
          <w:tcPr>
            <w:tcW w:type="dxa" w:w="19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 80%</w:t>
            </w:r>
          </w:p>
        </w:tc>
        <w:tc>
          <w:tcPr>
            <w:tcW w:type="dxa" w:w="2238"/>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85.68%</w:t>
            </w:r>
          </w:p>
        </w:tc>
      </w:tr>
      <w:tr>
        <w:trPr>
          <w:cantSplit/>
        </w:trPr>
        <w:tc>
          <w:tcPr>
            <w:tcW w:type="dxa" w:w="3600"/>
            <w:tcBorders>
              <w:top w:val="single" w:color="A9C1D3" w:sz="4"/>
              <w:left w:val="single" w:color="A9C1D3" w:sz="4"/>
              <w:bottom w:val="single" w:color="A9C1D3" w:sz="4"/>
              <w:right w:val="single" w:color="A9C1D3" w:sz="4"/>
            </w:tcBorders>
            <w:shd w:fill="EAF4FA" w:color="auto" w:val="clear"/>
            <w:tcMar>
              <w:top w:type="dxa" w:w="70"/>
              <w:left w:type="dxa" w:w="110"/>
              <w:bottom w:type="dxa" w:w="70"/>
              <w:right w:type="dxa" w:w="110"/>
            </w:tcMar>
            <w:vAlign w:val="center"/>
          </w:tcPr>
          <w:p>
            <w:pPr>
              <w:bidi/>
              <w:spacing w:after="0" w:before="0" w:line="300"/>
            </w:pPr>
            <w:r>
              <w:rPr>
                <w:rFonts w:ascii="Arial" w:cs="Arial" w:hAnsi="Arial"/>
                <w:b/>
                <w:bCs/>
                <w:color w:val="0B3C5D"/>
                <w:sz w:val="20"/>
                <w:szCs w:val="20"/>
                <w:rtl/>
              </w:rPr>
              <w:t xml:space="preserve">تغطية المحتوى التدريبي</w:t>
            </w:r>
          </w:p>
        </w:tc>
        <w:tc>
          <w:tcPr>
            <w:tcW w:type="dxa" w:w="19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w:t>
            </w:r>
          </w:p>
        </w:tc>
        <w:tc>
          <w:tcPr>
            <w:tcW w:type="dxa" w:w="1900"/>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12 موضوعًا / 10 مراكز</w:t>
            </w:r>
          </w:p>
        </w:tc>
        <w:tc>
          <w:tcPr>
            <w:tcW w:type="dxa" w:w="2238"/>
            <w:tcBorders>
              <w:top w:val="single" w:color="A9C1D3" w:sz="4"/>
              <w:left w:val="single" w:color="A9C1D3" w:sz="4"/>
              <w:bottom w:val="single" w:color="A9C1D3" w:sz="4"/>
              <w:right w:val="single" w:color="A9C1D3" w:sz="4"/>
            </w:tcBorders>
            <w:tcMar>
              <w:top w:type="dxa" w:w="70"/>
              <w:left w:type="dxa" w:w="110"/>
              <w:bottom w:type="dxa" w:w="70"/>
              <w:right w:type="dxa" w:w="110"/>
            </w:tcMar>
            <w:vAlign w:val="center"/>
          </w:tcPr>
          <w:p>
            <w:pPr>
              <w:bidi/>
              <w:spacing w:after="0" w:before="0" w:line="300"/>
            </w:pPr>
            <w:r>
              <w:rPr>
                <w:rFonts w:ascii="Arial" w:cs="Arial" w:hAnsi="Arial"/>
                <w:b w:val="false"/>
                <w:color w:val="1D2B36"/>
                <w:sz w:val="20"/>
                <w:szCs w:val="20"/>
                <w:rtl/>
              </w:rPr>
              <w:t xml:space="preserve">100%</w:t>
            </w:r>
          </w:p>
        </w:tc>
      </w:tr>
    </w:tbl>
    <w:p>
      <w:pPr>
        <w:bidi/>
        <w:spacing w:after="100" w:before="80" w:line="300"/>
      </w:pPr>
      <w:r>
        <w:rPr>
          <w:rFonts w:ascii="Arial" w:cs="Arial" w:hAnsi="Arial"/>
          <w:color w:val="5B6E7C"/>
          <w:sz w:val="19"/>
          <w:szCs w:val="19"/>
          <w:rtl/>
        </w:rPr>
        <w:t xml:space="preserve">القيم المحسوبة المضافة: تحسّن نسبي 15.6% في الاختبار البعدي، وارتفاع إنجاز المستهدفات 43.7% عن خط الأساس، وكلاهما مشتق مباشرة من بيانات المشروع.</w:t>
      </w:r>
    </w:p>
    <w:p>
      <w:pPr>
        <w:pStyle w:val="Heading1"/>
        <w:bidi/>
        <w:spacing w:after="120" w:before="240" w:line="300"/>
      </w:pPr>
      <w:r>
        <w:rPr>
          <w:rFonts w:ascii="Arial" w:cs="Arial" w:hAnsi="Arial"/>
          <w:b/>
          <w:bCs/>
          <w:color w:val="0B3C5D"/>
          <w:sz w:val="28"/>
          <w:szCs w:val="28"/>
          <w:rtl/>
        </w:rPr>
        <w:t xml:space="preserve">خامسًا: المراجع العلمية المضافة</w:t>
      </w:r>
    </w:p>
    <w:p>
      <w:pPr>
        <w:pStyle w:val="ListParagraph"/>
        <w:numPr>
          <w:ilvl w:val="0"/>
          <w:numId w:val="3"/>
        </w:numPr>
        <w:spacing w:after="40"/>
      </w:pPr>
      <w:r>
        <w:rPr>
          <w:rFonts w:ascii="Arial" w:cs="Arial" w:eastAsia="Arial" w:hAnsi="Arial"/>
          <w:color w:val="33475B"/>
          <w:sz w:val="19"/>
          <w:szCs w:val="19"/>
        </w:rPr>
        <w:t xml:space="preserve">Batalden PB, Stoltz PK. A framework for the continual improvement of health care. Jt Comm J Qual Improv. 1993;19(10):432-452.</w:t>
      </w:r>
    </w:p>
    <w:p>
      <w:pPr>
        <w:pStyle w:val="ListParagraph"/>
        <w:numPr>
          <w:ilvl w:val="0"/>
          <w:numId w:val="3"/>
        </w:numPr>
        <w:spacing w:after="40"/>
      </w:pPr>
      <w:r>
        <w:rPr>
          <w:rFonts w:ascii="Arial" w:cs="Arial" w:eastAsia="Arial" w:hAnsi="Arial"/>
          <w:color w:val="33475B"/>
          <w:sz w:val="19"/>
          <w:szCs w:val="19"/>
        </w:rPr>
        <w:t xml:space="preserve">Langley GJ, et al. The Improvement Guide. 2nd ed. Jossey-Bass; 2009.</w:t>
      </w:r>
    </w:p>
    <w:p>
      <w:pPr>
        <w:pStyle w:val="ListParagraph"/>
        <w:numPr>
          <w:ilvl w:val="0"/>
          <w:numId w:val="3"/>
        </w:numPr>
        <w:spacing w:after="40"/>
      </w:pPr>
      <w:r>
        <w:rPr>
          <w:rFonts w:ascii="Arial" w:cs="Arial" w:eastAsia="Arial" w:hAnsi="Arial"/>
          <w:color w:val="33475B"/>
          <w:sz w:val="19"/>
          <w:szCs w:val="19"/>
        </w:rPr>
        <w:t xml:space="preserve">Institute of Medicine. Crossing the Quality Chasm. National Academies Press; 2001.</w:t>
      </w:r>
    </w:p>
    <w:p>
      <w:pPr>
        <w:pStyle w:val="ListParagraph"/>
        <w:numPr>
          <w:ilvl w:val="0"/>
          <w:numId w:val="3"/>
        </w:numPr>
        <w:spacing w:after="40"/>
      </w:pPr>
      <w:r>
        <w:rPr>
          <w:rFonts w:ascii="Arial" w:cs="Arial" w:eastAsia="Arial" w:hAnsi="Arial"/>
          <w:color w:val="33475B"/>
          <w:sz w:val="19"/>
          <w:szCs w:val="19"/>
        </w:rPr>
        <w:t xml:space="preserve">Porter ME. What is value in health care? N Engl J Med. 2010;363(26):2477-2481.</w:t>
      </w:r>
    </w:p>
    <w:p>
      <w:pPr>
        <w:pStyle w:val="ListParagraph"/>
        <w:numPr>
          <w:ilvl w:val="0"/>
          <w:numId w:val="3"/>
        </w:numPr>
        <w:spacing w:after="40"/>
      </w:pPr>
      <w:r>
        <w:rPr>
          <w:rFonts w:ascii="Arial" w:cs="Arial" w:eastAsia="Arial" w:hAnsi="Arial"/>
          <w:color w:val="33475B"/>
          <w:sz w:val="19"/>
          <w:szCs w:val="19"/>
        </w:rPr>
        <w:t xml:space="preserve">Kirkpatrick DL, Kirkpatrick JD. Evaluating Training Programs: The Four Levels. 3rd ed. Berrett-Koehler; 2006.</w:t>
      </w:r>
    </w:p>
    <w:p>
      <w:pPr>
        <w:pStyle w:val="ListParagraph"/>
        <w:numPr>
          <w:ilvl w:val="0"/>
          <w:numId w:val="3"/>
        </w:numPr>
        <w:spacing w:after="40"/>
      </w:pPr>
      <w:r>
        <w:rPr>
          <w:rFonts w:ascii="Arial" w:cs="Arial" w:eastAsia="Arial" w:hAnsi="Arial"/>
          <w:color w:val="33475B"/>
          <w:sz w:val="19"/>
          <w:szCs w:val="19"/>
        </w:rPr>
        <w:t xml:space="preserve">Liu Q, et al. The effectiveness of blended learning in health professions. J Med Internet Res. 2016;18(1):e2.</w:t>
      </w:r>
    </w:p>
    <w:p>
      <w:pPr>
        <w:pStyle w:val="ListParagraph"/>
        <w:numPr>
          <w:ilvl w:val="0"/>
          <w:numId w:val="3"/>
        </w:numPr>
        <w:spacing w:after="40"/>
      </w:pPr>
      <w:r>
        <w:rPr>
          <w:rFonts w:ascii="Arial" w:cs="Arial" w:eastAsia="Arial" w:hAnsi="Arial"/>
          <w:color w:val="33475B"/>
          <w:sz w:val="19"/>
          <w:szCs w:val="19"/>
        </w:rPr>
        <w:t xml:space="preserve">Provost LP, Murray SK. The Health Care Data Guide. Jossey-Bass; 2011.</w:t>
      </w:r>
    </w:p>
    <w:p>
      <w:pPr>
        <w:pStyle w:val="Heading1"/>
        <w:bidi/>
        <w:spacing w:after="120" w:before="240" w:line="300"/>
      </w:pPr>
      <w:r>
        <w:rPr>
          <w:rFonts w:ascii="Arial" w:cs="Arial" w:hAnsi="Arial"/>
          <w:b/>
          <w:bCs/>
          <w:color w:val="0B3C5D"/>
          <w:sz w:val="28"/>
          <w:szCs w:val="28"/>
          <w:rtl/>
        </w:rPr>
        <w:t xml:space="preserve">سادسًا: نقاط تتطلب التأكيد قبل التسليم (الخميس 29 أكتوبر 2026)</w:t>
      </w:r>
    </w:p>
    <w:p>
      <w:pPr>
        <w:pStyle w:val="ListParagraph"/>
        <w:numPr>
          <w:ilvl w:val="0"/>
          <w:numId w:val="4"/>
        </w:numPr>
        <w:bidi/>
        <w:spacing w:after="60" w:before="0" w:line="300"/>
      </w:pPr>
      <w:r>
        <w:rPr>
          <w:rFonts w:ascii="Arial" w:cs="Arial" w:hAnsi="Arial"/>
          <w:b/>
          <w:bCs/>
          <w:color w:val="1D2B36"/>
          <w:sz w:val="22"/>
          <w:szCs w:val="22"/>
          <w:rtl/>
        </w:rPr>
        <w:t xml:space="preserve">المستهدفات الرقمية: </w:t>
      </w:r>
      <w:r>
        <w:rPr>
          <w:rFonts w:ascii="Arial" w:cs="Arial" w:hAnsi="Arial"/>
          <w:color w:val="1D2B36"/>
          <w:sz w:val="22"/>
          <w:szCs w:val="22"/>
          <w:rtl/>
        </w:rPr>
        <w:t xml:space="preserve">مستهدفات الهدف الذكي (≥ 80%، ≥ 10 نقاط، ≥ 80%) مقترحة لعدم وجودها في الملف الأصلي؛ تُستبدل بالمستهدفات المعتمدة إن وُجدت.</w:t>
      </w:r>
    </w:p>
    <w:p>
      <w:pPr>
        <w:pStyle w:val="ListParagraph"/>
        <w:numPr>
          <w:ilvl w:val="0"/>
          <w:numId w:val="4"/>
        </w:numPr>
        <w:bidi/>
        <w:spacing w:after="60" w:before="0" w:line="300"/>
      </w:pPr>
      <w:r>
        <w:rPr>
          <w:rFonts w:ascii="Arial" w:cs="Arial" w:hAnsi="Arial"/>
          <w:b/>
          <w:bCs/>
          <w:color w:val="1D2B36"/>
          <w:sz w:val="22"/>
          <w:szCs w:val="22"/>
          <w:rtl/>
        </w:rPr>
        <w:t xml:space="preserve">نتيجة الربع الأول 2026: </w:t>
      </w:r>
      <w:r>
        <w:rPr>
          <w:rFonts w:ascii="Arial" w:cs="Arial" w:hAnsi="Arial"/>
          <w:color w:val="1D2B36"/>
          <w:sz w:val="22"/>
          <w:szCs w:val="22"/>
          <w:rtl/>
        </w:rPr>
        <w:t xml:space="preserve">أُطلقت المنصة في مايو بينما يذكر الملف تحقق 100% في الربع الأول؛ يُستحسن توضيح ذلك (مثل استكمال مستهدفات الربع الأول لاحقًا عبر المنصة) تجنبًا لتساؤل المحكّم.</w:t>
      </w:r>
    </w:p>
    <w:p>
      <w:pPr>
        <w:pStyle w:val="ListParagraph"/>
        <w:numPr>
          <w:ilvl w:val="0"/>
          <w:numId w:val="4"/>
        </w:numPr>
        <w:bidi/>
        <w:spacing w:after="60" w:before="0" w:line="300"/>
      </w:pPr>
      <w:r>
        <w:rPr>
          <w:rFonts w:ascii="Arial" w:cs="Arial" w:hAnsi="Arial"/>
          <w:b/>
          <w:bCs/>
          <w:color w:val="1D2B36"/>
          <w:sz w:val="22"/>
          <w:szCs w:val="22"/>
          <w:rtl/>
        </w:rPr>
        <w:t xml:space="preserve">عدد الورش التطبيقية: </w:t>
      </w:r>
      <w:r>
        <w:rPr>
          <w:rFonts w:ascii="Arial" w:cs="Arial" w:hAnsi="Arial"/>
          <w:color w:val="1D2B36"/>
          <w:sz w:val="22"/>
          <w:szCs w:val="22"/>
          <w:rtl/>
        </w:rPr>
        <w:t xml:space="preserve">الرقم (10 ورش) مأخوذ من المخطط الأصلي ويلزم التحقق منه.</w:t>
      </w:r>
    </w:p>
    <w:p>
      <w:pPr>
        <w:pStyle w:val="ListParagraph"/>
        <w:numPr>
          <w:ilvl w:val="0"/>
          <w:numId w:val="4"/>
        </w:numPr>
        <w:bidi/>
        <w:spacing w:after="60" w:before="0" w:line="300"/>
      </w:pPr>
      <w:r>
        <w:rPr>
          <w:rFonts w:ascii="Arial" w:cs="Arial" w:hAnsi="Arial"/>
          <w:b/>
          <w:bCs/>
          <w:color w:val="1D2B36"/>
          <w:sz w:val="22"/>
          <w:szCs w:val="22"/>
          <w:rtl/>
        </w:rPr>
        <w:t xml:space="preserve">الأسماء والاعتماد: </w:t>
      </w:r>
      <w:r>
        <w:rPr>
          <w:rFonts w:ascii="Arial" w:cs="Arial" w:hAnsi="Arial"/>
          <w:color w:val="1D2B36"/>
          <w:sz w:val="22"/>
          <w:szCs w:val="22"/>
          <w:rtl/>
        </w:rPr>
        <w:t xml:space="preserve">إضافة اسم قائدة المشروع واسم المدير والتوقيع.</w:t>
      </w:r>
    </w:p>
    <w:p>
      <w:pPr>
        <w:pStyle w:val="ListParagraph"/>
        <w:numPr>
          <w:ilvl w:val="0"/>
          <w:numId w:val="4"/>
        </w:numPr>
        <w:bidi/>
        <w:spacing w:after="60" w:before="0" w:line="300"/>
      </w:pPr>
      <w:r>
        <w:rPr>
          <w:rFonts w:ascii="Arial" w:cs="Arial" w:hAnsi="Arial"/>
          <w:b/>
          <w:bCs/>
          <w:color w:val="1D2B36"/>
          <w:sz w:val="22"/>
          <w:szCs w:val="22"/>
          <w:rtl/>
        </w:rPr>
        <w:t xml:space="preserve">خانتا السلامة وخفض التكاليف: </w:t>
      </w:r>
      <w:r>
        <w:rPr>
          <w:rFonts w:ascii="Arial" w:cs="Arial" w:hAnsi="Arial"/>
          <w:color w:val="1D2B36"/>
          <w:sz w:val="22"/>
          <w:szCs w:val="22"/>
          <w:rtl/>
        </w:rPr>
        <w:t xml:space="preserve">تُركتا غير محددتين لعدم توفر بيانات مقاسة، حفاظًا على مصداقية المشروع أمام المحكّم.</w:t>
      </w:r>
    </w:p>
    <w:p>
      <w:pPr>
        <w:pStyle w:val="Heading1"/>
        <w:bidi/>
        <w:spacing w:after="120" w:before="240" w:line="300"/>
      </w:pPr>
      <w:r>
        <w:rPr>
          <w:rFonts w:ascii="Arial" w:cs="Arial" w:hAnsi="Arial"/>
          <w:b/>
          <w:bCs/>
          <w:color w:val="0B3C5D"/>
          <w:sz w:val="28"/>
          <w:szCs w:val="28"/>
          <w:rtl/>
        </w:rPr>
        <w:t xml:space="preserve">سابعًا: توصيات لرفع الدرجة أكثر</w:t>
      </w:r>
    </w:p>
    <w:p>
      <w:pPr>
        <w:pStyle w:val="ListParagraph"/>
        <w:numPr>
          <w:ilvl w:val="0"/>
          <w:numId w:val="2"/>
        </w:numPr>
        <w:bidi/>
        <w:spacing w:after="60" w:before="0" w:line="300"/>
      </w:pPr>
      <w:r>
        <w:rPr>
          <w:rFonts w:ascii="Arial" w:cs="Arial" w:hAnsi="Arial"/>
          <w:b/>
          <w:bCs/>
          <w:color w:val="1D2B36"/>
          <w:sz w:val="22"/>
          <w:szCs w:val="22"/>
          <w:rtl/>
        </w:rPr>
        <w:t xml:space="preserve">قياس الجهد الموفَّر: </w:t>
      </w:r>
      <w:r>
        <w:rPr>
          <w:rFonts w:ascii="Arial" w:cs="Arial" w:hAnsi="Arial"/>
          <w:color w:val="1D2B36"/>
          <w:sz w:val="22"/>
          <w:szCs w:val="22"/>
          <w:rtl/>
        </w:rPr>
        <w:t xml:space="preserve">عدد المحاضرات المعادة في 2025 وساعاتها، لتحويل «تقليل المجهود» إلى رقم مقاس يدعم معيار القيمة المضافة.</w:t>
      </w:r>
    </w:p>
    <w:p>
      <w:pPr>
        <w:pStyle w:val="ListParagraph"/>
        <w:numPr>
          <w:ilvl w:val="0"/>
          <w:numId w:val="2"/>
        </w:numPr>
        <w:bidi/>
        <w:spacing w:after="60" w:before="0" w:line="300"/>
      </w:pPr>
      <w:r>
        <w:rPr>
          <w:rFonts w:ascii="Arial" w:cs="Arial" w:hAnsi="Arial"/>
          <w:b/>
          <w:bCs/>
          <w:color w:val="1D2B36"/>
          <w:sz w:val="22"/>
          <w:szCs w:val="22"/>
          <w:rtl/>
        </w:rPr>
        <w:t xml:space="preserve">استبيان رضا: </w:t>
      </w:r>
      <w:r>
        <w:rPr>
          <w:rFonts w:ascii="Arial" w:cs="Arial" w:hAnsi="Arial"/>
          <w:color w:val="1D2B36"/>
          <w:sz w:val="22"/>
          <w:szCs w:val="22"/>
          <w:rtl/>
        </w:rPr>
        <w:t xml:space="preserve">استبيان قصير للممرضين عن تجربة المنصة لدعم بُعد محورية المستفيد.</w:t>
      </w:r>
    </w:p>
    <w:p>
      <w:pPr>
        <w:pStyle w:val="ListParagraph"/>
        <w:numPr>
          <w:ilvl w:val="0"/>
          <w:numId w:val="2"/>
        </w:numPr>
        <w:bidi/>
        <w:spacing w:after="60" w:before="0" w:line="300"/>
      </w:pPr>
      <w:r>
        <w:rPr>
          <w:rFonts w:ascii="Arial" w:cs="Arial" w:hAnsi="Arial"/>
          <w:b/>
          <w:bCs/>
          <w:color w:val="1D2B36"/>
          <w:sz w:val="22"/>
          <w:szCs w:val="22"/>
          <w:rtl/>
        </w:rPr>
        <w:t xml:space="preserve">اختبار دلالة إحصائية: </w:t>
      </w:r>
      <w:r>
        <w:rPr>
          <w:rFonts w:ascii="Arial" w:cs="Arial" w:hAnsi="Arial"/>
          <w:color w:val="1D2B36"/>
          <w:sz w:val="22"/>
          <w:szCs w:val="22"/>
          <w:rtl/>
        </w:rPr>
        <w:t xml:space="preserve">اختبار t للعينات المقترنة على نتائج الاختبارين القبلي والبعدي عند توفر البيانات الخام.</w:t>
      </w:r>
    </w:p>
    <w:p>
      <w:pPr>
        <w:pStyle w:val="Heading1"/>
        <w:bidi/>
        <w:spacing w:after="120" w:before="240" w:line="300"/>
      </w:pPr>
      <w:r>
        <w:rPr>
          <w:rFonts w:ascii="Arial" w:cs="Arial" w:hAnsi="Arial"/>
          <w:b/>
          <w:bCs/>
          <w:color w:val="0B3C5D"/>
          <w:sz w:val="28"/>
          <w:szCs w:val="28"/>
          <w:rtl/>
        </w:rPr>
        <w:t xml:space="preserve">ثامنًا: المخرجات</w:t>
      </w:r>
    </w:p>
    <w:p>
      <w:pPr>
        <w:pStyle w:val="ListParagraph"/>
        <w:numPr>
          <w:ilvl w:val="0"/>
          <w:numId w:val="2"/>
        </w:numPr>
        <w:bidi/>
        <w:spacing w:after="60" w:before="0" w:line="300"/>
      </w:pPr>
      <w:r>
        <w:rPr>
          <w:rFonts w:ascii="Arial" w:cs="Arial" w:hAnsi="Arial"/>
          <w:b/>
          <w:bCs/>
          <w:color w:val="1D2B36"/>
          <w:sz w:val="22"/>
          <w:szCs w:val="22"/>
          <w:rtl/>
        </w:rPr>
        <w:t xml:space="preserve">ملف Word قابل للتعديل: </w:t>
      </w:r>
      <w:r>
        <w:rPr>
          <w:rFonts w:ascii="Arial" w:cs="Arial" w:hAnsi="Arial"/>
          <w:color w:val="1D2B36"/>
          <w:sz w:val="22"/>
          <w:szCs w:val="22"/>
          <w:rtl/>
        </w:rPr>
        <w:t xml:space="preserve">مشروع_التميز_التدريب_التمريضي_المطور.docx (6 صفحات، اجتاز فحص صلاحية الملف).</w:t>
      </w:r>
    </w:p>
    <w:p>
      <w:pPr>
        <w:pStyle w:val="ListParagraph"/>
        <w:numPr>
          <w:ilvl w:val="0"/>
          <w:numId w:val="2"/>
        </w:numPr>
        <w:bidi/>
        <w:spacing w:after="60" w:before="0" w:line="300"/>
      </w:pPr>
      <w:r>
        <w:rPr>
          <w:rFonts w:ascii="Arial" w:cs="Arial" w:hAnsi="Arial"/>
          <w:b/>
          <w:bCs/>
          <w:color w:val="1D2B36"/>
          <w:sz w:val="22"/>
          <w:szCs w:val="22"/>
          <w:rtl/>
        </w:rPr>
        <w:t xml:space="preserve">نسخة PDF للمعاينة: </w:t>
      </w:r>
      <w:r>
        <w:rPr>
          <w:rFonts w:ascii="Arial" w:cs="Arial" w:hAnsi="Arial"/>
          <w:color w:val="1D2B36"/>
          <w:sz w:val="22"/>
          <w:szCs w:val="22"/>
          <w:rtl/>
        </w:rPr>
        <w:t xml:space="preserve">مشروع_التميز_التدريب_التمريضي_المطور.pdf</w:t>
      </w:r>
    </w:p>
    <w:p>
      <w:pPr>
        <w:pStyle w:val="ListParagraph"/>
        <w:numPr>
          <w:ilvl w:val="0"/>
          <w:numId w:val="2"/>
        </w:numPr>
        <w:bidi/>
        <w:spacing w:after="60" w:before="0" w:line="300"/>
      </w:pPr>
      <w:r>
        <w:rPr>
          <w:rFonts w:ascii="Arial" w:cs="Arial" w:hAnsi="Arial"/>
          <w:b/>
          <w:bCs/>
          <w:color w:val="1D2B36"/>
          <w:sz w:val="22"/>
          <w:szCs w:val="22"/>
          <w:rtl/>
        </w:rPr>
        <w:t xml:space="preserve">ملاحظة: </w:t>
      </w:r>
      <w:r>
        <w:rPr>
          <w:rFonts w:ascii="Arial" w:cs="Arial" w:hAnsi="Arial"/>
          <w:color w:val="1D2B36"/>
          <w:sz w:val="22"/>
          <w:szCs w:val="22"/>
          <w:rtl/>
        </w:rPr>
        <w:t xml:space="preserve">رُوجعت الصفحات بعد التحويل إلى PDF، ويُنصح بفتح الملف في Microsoft Word ومراجعة التنسيق قبل الرفع.</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E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00" w:hanging="300"/>
      </w:pPr>
    </w:lvl>
  </w:abstractNum>
  <w:abstractNum w:abstractNumId="3" w15:restartNumberingAfterBreak="0">
    <w:multiLevelType w:val="hybridMultilevel"/>
    <w:lvl w:ilvl="0" w15:tentative="1">
      <w:start w:val="1"/>
      <w:numFmt w:val="decimal"/>
      <w:lvlText w:val="%1."/>
      <w:lvlJc w:val="start"/>
      <w:pPr>
        <w:ind w:start="5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3C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2026-10-25T20:20:23.409Z</dcterms:created>
  <dcterms:modified xsi:type="dcterms:W3CDTF">2026-10-25T20:20:23.419Z</dcterms:modified>
</cp:coreProperties>
</file>

<file path=docProps/custom.xml><?xml version="1.0" encoding="utf-8"?>
<Properties xmlns="http://schemas.openxmlformats.org/officeDocument/2006/custom-properties" xmlns:vt="http://schemas.openxmlformats.org/officeDocument/2006/docPropsVTypes"/>
</file>