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60"/>
        <w:jc w:val="center"/>
      </w:pPr>
      <w:r>
        <w:rPr>
          <w:rFonts w:ascii="Arial" w:cs="Arial" w:hAnsi="Arial"/>
          <w:b/>
          <w:bCs/>
          <w:color w:val="0B3C5D"/>
          <w:sz w:val="32"/>
          <w:szCs w:val="32"/>
          <w:rtl/>
        </w:rPr>
        <w:t xml:space="preserve">مسابقة التميز بجودة خدمات الرعاية الصحية</w:t>
      </w:r>
    </w:p>
    <w:p>
      <w:pPr>
        <w:bidi/>
        <w:spacing w:after="20" w:before="0" w:line="260"/>
        <w:jc w:val="center"/>
      </w:pPr>
      <w:r>
        <w:rPr>
          <w:rFonts w:ascii="Arial" w:cs="Arial" w:hAnsi="Arial"/>
          <w:b/>
          <w:bCs/>
          <w:color w:val="1D2B36"/>
          <w:sz w:val="20"/>
          <w:szCs w:val="20"/>
          <w:rtl/>
        </w:rPr>
        <w:t xml:space="preserve">Performance Improvement Project – 2026     </w:t>
      </w:r>
      <w:r>
        <w:rPr>
          <w:rFonts w:ascii="Arial" w:cs="Arial" w:hAnsi="Arial"/>
          <w:b/>
          <w:bCs/>
          <w:color w:val="1D2B36"/>
          <w:sz w:val="20"/>
          <w:szCs w:val="20"/>
          <w:rtl/>
        </w:rPr>
        <w:t xml:space="preserve">مشروعات تحسين الأداء 2026</w:t>
      </w:r>
    </w:p>
    <w:p>
      <w:pPr>
        <w:bidi/>
        <w:spacing w:after="20" w:before="0" w:line="260"/>
        <w:jc w:val="center"/>
      </w:pPr>
      <w:r>
        <w:rPr>
          <w:rFonts w:ascii="Arial" w:cs="Arial" w:hAnsi="Arial"/>
          <w:b/>
          <w:bCs/>
          <w:color w:val="1F4E9E"/>
          <w:sz w:val="18"/>
          <w:szCs w:val="18"/>
          <w:u w:val="single"/>
          <w:rtl/>
        </w:rPr>
        <w:t xml:space="preserve">(Only Completed Projects)   </w:t>
      </w:r>
      <w:r>
        <w:rPr>
          <w:rFonts w:ascii="Arial" w:cs="Arial" w:hAnsi="Arial"/>
          <w:b/>
          <w:bCs/>
          <w:color w:val="1F4E9E"/>
          <w:sz w:val="18"/>
          <w:szCs w:val="18"/>
          <w:u w:val="single"/>
          <w:rtl/>
        </w:rPr>
        <w:t xml:space="preserve">(فقط المشروعات المكتملة)</w:t>
      </w:r>
    </w:p>
    <w:p>
      <w:pPr>
        <w:bidi/>
        <w:spacing w:after="100" w:before="0" w:line="260"/>
        <w:jc w:val="center"/>
      </w:pPr>
      <w:r>
        <w:rPr>
          <w:rFonts w:ascii="Arial" w:cs="Arial" w:hAnsi="Arial"/>
          <w:b/>
          <w:bCs/>
          <w:color w:val="0E8A8A"/>
          <w:sz w:val="16"/>
          <w:szCs w:val="16"/>
          <w:rtl/>
        </w:rPr>
        <w:t xml:space="preserve">الأسبوع العالمي للجودة 2026: «الجودة .. محرك الأداء» – Quality .. Powering Performance</w:t>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rPr>
          <w:cantSplit/>
        </w:trPr>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Hospital Name</w:t>
            </w:r>
          </w:p>
          <w:p>
            <w:pPr>
              <w:bidi/>
              <w:spacing w:after="0" w:before="0" w:line="260"/>
              <w:jc w:val="center"/>
            </w:pPr>
            <w:r>
              <w:rPr>
                <w:rFonts w:ascii="Arial" w:cs="Arial" w:hAnsi="Arial"/>
                <w:b/>
                <w:bCs/>
                <w:color w:val="0B3C5D"/>
                <w:sz w:val="17"/>
                <w:szCs w:val="17"/>
                <w:rtl/>
              </w:rPr>
              <w:t xml:space="preserve">اسم المستشفى / الجهة</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Title</w:t>
            </w:r>
          </w:p>
          <w:p>
            <w:pPr>
              <w:bidi/>
              <w:spacing w:after="0" w:before="0" w:line="260"/>
              <w:jc w:val="center"/>
            </w:pPr>
            <w:r>
              <w:rPr>
                <w:rFonts w:ascii="Arial" w:cs="Arial" w:hAnsi="Arial"/>
                <w:b/>
                <w:bCs/>
                <w:color w:val="0B3C5D"/>
                <w:sz w:val="17"/>
                <w:szCs w:val="17"/>
                <w:rtl/>
              </w:rPr>
              <w:t xml:space="preserve">مسمى المشروع</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Department Owner</w:t>
            </w:r>
          </w:p>
          <w:p>
            <w:pPr>
              <w:bidi/>
              <w:spacing w:after="0" w:before="0" w:line="260"/>
              <w:jc w:val="center"/>
            </w:pPr>
            <w:r>
              <w:rPr>
                <w:rFonts w:ascii="Arial" w:cs="Arial" w:hAnsi="Arial"/>
                <w:b/>
                <w:bCs/>
                <w:color w:val="0B3C5D"/>
                <w:sz w:val="17"/>
                <w:szCs w:val="17"/>
                <w:rtl/>
              </w:rPr>
              <w:t xml:space="preserve">(القسم المسؤول)</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Department Contributed</w:t>
            </w:r>
          </w:p>
          <w:p>
            <w:pPr>
              <w:bidi/>
              <w:spacing w:after="0" w:before="0" w:line="260"/>
              <w:jc w:val="center"/>
            </w:pPr>
            <w:r>
              <w:rPr>
                <w:rFonts w:ascii="Arial" w:cs="Arial" w:hAnsi="Arial"/>
                <w:b/>
                <w:bCs/>
                <w:color w:val="0B3C5D"/>
                <w:sz w:val="17"/>
                <w:szCs w:val="17"/>
                <w:rtl/>
              </w:rPr>
              <w:t xml:space="preserve">(الأقسام المشاركة)</w:t>
            </w:r>
          </w:p>
        </w:tc>
      </w:tr>
      <w:tr>
        <w:trPr>
          <w:cantSplit/>
        </w:trPr>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1D2B36"/>
                <w:sz w:val="18"/>
                <w:szCs w:val="18"/>
                <w:rtl/>
              </w:rPr>
              <w:t xml:space="preserve">قطاع الصحة العامة بالبكيرية</w:t>
            </w:r>
          </w:p>
          <w:p>
            <w:pPr>
              <w:bidi/>
              <w:spacing w:after="40" w:before="0" w:line="260"/>
            </w:pPr>
            <w:r>
              <w:rPr>
                <w:rFonts w:ascii="Arial" w:cs="Arial" w:hAnsi="Arial"/>
                <w:color w:val="1D2B36"/>
                <w:sz w:val="18"/>
                <w:szCs w:val="18"/>
                <w:rtl/>
              </w:rPr>
              <w:t xml:space="preserve">تجمع القصيم الصحي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0B3C5D"/>
                <w:sz w:val="18"/>
                <w:szCs w:val="18"/>
                <w:rtl/>
              </w:rPr>
              <w:t xml:space="preserve">تحسين جودة وكفاءة التدريب التمريضي من خلال التحول الرقمي والتعلّم المدمج بمراكز الرعاية الصحية الأولية</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1D2B36"/>
                <w:sz w:val="18"/>
                <w:szCs w:val="18"/>
                <w:rtl/>
              </w:rPr>
              <w:t xml:space="preserve">التدريب والتعليم التمريضي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color w:val="1D2B36"/>
                <w:sz w:val="18"/>
                <w:szCs w:val="18"/>
                <w:rtl/>
              </w:rPr>
              <w:t xml:space="preserve">• الدعم التقني: برمجة المنصة الإلكترونية</w:t>
            </w:r>
          </w:p>
          <w:p>
            <w:pPr>
              <w:bidi/>
              <w:spacing w:after="40" w:before="0" w:line="260"/>
            </w:pPr>
            <w:r>
              <w:rPr>
                <w:rFonts w:ascii="Arial" w:cs="Arial" w:hAnsi="Arial"/>
                <w:color w:val="1D2B36"/>
                <w:sz w:val="18"/>
                <w:szCs w:val="18"/>
                <w:rtl/>
              </w:rPr>
              <w:t xml:space="preserve">• المراكز الصحية العشرة: التطبيق والورش التطبيقية</w:t>
            </w:r>
          </w:p>
        </w:tc>
      </w:tr>
      <w:tr>
        <w:trPr>
          <w:cantSplit/>
        </w:trPr>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Dimension(S)</w:t>
            </w:r>
          </w:p>
          <w:p>
            <w:pPr>
              <w:bidi/>
              <w:spacing w:after="0" w:before="0" w:line="260"/>
              <w:jc w:val="center"/>
            </w:pPr>
            <w:r>
              <w:rPr>
                <w:rFonts w:ascii="Arial" w:cs="Arial" w:hAnsi="Arial"/>
                <w:b/>
                <w:bCs/>
                <w:color w:val="0B3C5D"/>
                <w:sz w:val="17"/>
                <w:szCs w:val="17"/>
                <w:rtl/>
              </w:rPr>
              <w:t xml:space="preserve">(اختصاص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Duration</w:t>
            </w:r>
          </w:p>
          <w:p>
            <w:pPr>
              <w:bidi/>
              <w:spacing w:after="0" w:before="0" w:line="260"/>
              <w:jc w:val="center"/>
            </w:pPr>
            <w:r>
              <w:rPr>
                <w:rFonts w:ascii="Arial" w:cs="Arial" w:hAnsi="Arial"/>
                <w:b/>
                <w:bCs/>
                <w:color w:val="0B3C5D"/>
                <w:sz w:val="17"/>
                <w:szCs w:val="17"/>
                <w:rtl/>
              </w:rPr>
              <w:t xml:space="preserve">(مدة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Start Date</w:t>
            </w:r>
          </w:p>
          <w:p>
            <w:pPr>
              <w:bidi/>
              <w:spacing w:after="0" w:before="0" w:line="260"/>
              <w:jc w:val="center"/>
            </w:pPr>
            <w:r>
              <w:rPr>
                <w:rFonts w:ascii="Arial" w:cs="Arial" w:hAnsi="Arial"/>
                <w:b/>
                <w:bCs/>
                <w:color w:val="0B3C5D"/>
                <w:sz w:val="17"/>
                <w:szCs w:val="17"/>
                <w:rtl/>
              </w:rPr>
              <w:t xml:space="preserve">(تاريخ بداية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End Date</w:t>
            </w:r>
          </w:p>
          <w:p>
            <w:pPr>
              <w:bidi/>
              <w:spacing w:after="0" w:before="0" w:line="260"/>
              <w:jc w:val="center"/>
            </w:pPr>
            <w:r>
              <w:rPr>
                <w:rFonts w:ascii="Arial" w:cs="Arial" w:hAnsi="Arial"/>
                <w:b/>
                <w:bCs/>
                <w:color w:val="0B3C5D"/>
                <w:sz w:val="17"/>
                <w:szCs w:val="17"/>
                <w:rtl/>
              </w:rPr>
              <w:t xml:space="preserve">(تاريخ نهاية المشروع)</w:t>
            </w:r>
          </w:p>
        </w:tc>
      </w:tr>
      <w:tr>
        <w:trPr>
          <w:cantSplit/>
        </w:trPr>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Safety (السلامة)</w:t>
            </w:r>
            <w:r>
              <w:rPr>
                <w:rFonts w:ascii="Arial" w:cs="Arial" w:hAnsi="Arial"/>
                <w:color w:val="5B6E7C"/>
                <w:sz w:val="16"/>
                <w:szCs w:val="16"/>
                <w:rtl/>
              </w:rPr>
              <w:t xml:space="preserve"> – أثر غير مباشر</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Effectiveness (الفاعلية)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Efficiency (الكفاءة)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Beneficiary Centered</w:t>
            </w:r>
            <w:r>
              <w:rPr>
                <w:rFonts w:ascii="Arial" w:cs="Arial" w:hAnsi="Arial"/>
                <w:color w:val="5B6E7C"/>
                <w:sz w:val="16"/>
                <w:szCs w:val="16"/>
                <w:rtl/>
              </w:rPr>
              <w:t xml:space="preserve"> (محورية المستفيد: الكادر كمستفيد داخلي)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8 أشهر</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مارس 2026</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أكتوبر 2026</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5153"/>
      </w:tblGrid>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Problem Statement</w:t>
            </w:r>
          </w:p>
          <w:p>
            <w:pPr>
              <w:bidi/>
              <w:spacing w:after="0" w:before="0" w:line="260"/>
              <w:jc w:val="center"/>
            </w:pPr>
            <w:r>
              <w:rPr>
                <w:rFonts w:ascii="Arial" w:cs="Arial" w:hAnsi="Arial"/>
                <w:b/>
                <w:bCs/>
                <w:color w:val="0B3C5D"/>
                <w:sz w:val="17"/>
                <w:szCs w:val="17"/>
                <w:rtl/>
              </w:rPr>
              <w:t xml:space="preserve">(صياغة المشكلة)</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Aim Statement: (SMART)</w:t>
            </w:r>
          </w:p>
          <w:p>
            <w:pPr>
              <w:bidi/>
              <w:spacing w:after="0" w:before="0" w:line="260"/>
              <w:jc w:val="center"/>
            </w:pPr>
            <w:r>
              <w:rPr>
                <w:rFonts w:ascii="Arial" w:cs="Arial" w:hAnsi="Arial"/>
                <w:b/>
                <w:bCs/>
                <w:color w:val="0B3C5D"/>
                <w:sz w:val="17"/>
                <w:szCs w:val="17"/>
                <w:rtl/>
              </w:rPr>
              <w:t xml:space="preserve">(صياغة الهدف الذكي)</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jc w:val="both"/>
            </w:pPr>
            <w:r>
              <w:rPr>
                <w:rFonts w:ascii="Arial" w:cs="Arial" w:hAnsi="Arial"/>
                <w:color w:val="1D2B36"/>
                <w:sz w:val="18"/>
                <w:szCs w:val="18"/>
                <w:rtl/>
              </w:rPr>
              <w:t xml:space="preserve">خلال عامي 2024–2025 لم تتحقق مستهدفات الخطة التدريبية التمريضية بالكامل في </w:t>
            </w:r>
            <w:r>
              <w:rPr>
                <w:rFonts w:ascii="Arial" w:cs="Arial" w:hAnsi="Arial"/>
                <w:b/>
                <w:bCs/>
                <w:color w:val="1D2B36"/>
                <w:sz w:val="18"/>
                <w:szCs w:val="18"/>
                <w:rtl/>
              </w:rPr>
              <w:t xml:space="preserve">10 مراكز للرعاية الصحية الأولية</w:t>
            </w:r>
            <w:r>
              <w:rPr>
                <w:rFonts w:ascii="Arial" w:cs="Arial" w:hAnsi="Arial"/>
                <w:color w:val="1D2B36"/>
                <w:sz w:val="18"/>
                <w:szCs w:val="18"/>
                <w:rtl/>
              </w:rPr>
              <w:t xml:space="preserve">؛ إذ بلغ المتوسط المرجح لإنجاز المؤشرات الأكاديمية المعتمدة </w:t>
            </w:r>
            <w:r>
              <w:rPr>
                <w:rFonts w:ascii="Arial" w:cs="Arial" w:hAnsi="Arial"/>
                <w:b/>
                <w:bCs/>
                <w:color w:val="1D2B36"/>
                <w:sz w:val="18"/>
                <w:szCs w:val="18"/>
                <w:rtl/>
              </w:rPr>
              <w:t xml:space="preserve">69.60%</w:t>
            </w:r>
            <w:r>
              <w:rPr>
                <w:rFonts w:ascii="Arial" w:cs="Arial" w:hAnsi="Arial"/>
                <w:color w:val="1D2B36"/>
                <w:sz w:val="18"/>
                <w:szCs w:val="18"/>
                <w:rtl/>
              </w:rPr>
              <w:t xml:space="preserve"> مقابل مستهدف </w:t>
            </w:r>
            <w:r>
              <w:rPr>
                <w:rFonts w:ascii="Arial" w:cs="Arial" w:hAnsi="Arial"/>
                <w:b/>
                <w:bCs/>
                <w:color w:val="1D2B36"/>
                <w:sz w:val="18"/>
                <w:szCs w:val="18"/>
                <w:rtl/>
              </w:rPr>
              <w:t xml:space="preserve">100%</w:t>
            </w:r>
            <w:r>
              <w:rPr>
                <w:rFonts w:ascii="Arial" w:cs="Arial" w:hAnsi="Arial"/>
                <w:color w:val="1D2B36"/>
                <w:sz w:val="18"/>
                <w:szCs w:val="18"/>
                <w:rtl/>
              </w:rPr>
              <w:t xml:space="preserve"> (فجوة </w:t>
            </w:r>
            <w:r>
              <w:rPr>
                <w:rFonts w:ascii="Arial" w:cs="Arial" w:hAnsi="Arial"/>
                <w:b/>
                <w:bCs/>
                <w:color w:val="1D2B36"/>
                <w:sz w:val="18"/>
                <w:szCs w:val="18"/>
                <w:rtl/>
              </w:rPr>
              <w:t xml:space="preserve">30.40 نقطة مئوية</w:t>
            </w:r>
            <w:r>
              <w:rPr>
                <w:rFonts w:ascii="Arial" w:cs="Arial" w:hAnsi="Arial"/>
                <w:color w:val="1D2B36"/>
                <w:sz w:val="18"/>
                <w:szCs w:val="18"/>
                <w:rtl/>
              </w:rPr>
              <w:t xml:space="preserve">)، مع تدنٍّ حاد في بعض المجالات (تقييم التمريض 9.5% في 2024).</w:t>
            </w:r>
          </w:p>
          <w:p>
            <w:pPr>
              <w:bidi/>
              <w:spacing w:after="40" w:before="0" w:line="260"/>
              <w:jc w:val="both"/>
            </w:pPr>
            <w:r>
              <w:rPr>
                <w:rFonts w:ascii="Arial" w:cs="Arial" w:hAnsi="Arial"/>
                <w:color w:val="1D2B36"/>
                <w:sz w:val="18"/>
                <w:szCs w:val="18"/>
                <w:rtl/>
              </w:rPr>
              <w:t xml:space="preserve">ارتبطت الفجوة بآلية تقديم تعتمد على محاضرات Zoom متزامنة بمواعيد ثابتة لا تتوافق مع المناوبات وتغطية العيادات، ما استلزم </w:t>
            </w:r>
            <w:r>
              <w:rPr>
                <w:rFonts w:ascii="Arial" w:cs="Arial" w:hAnsi="Arial"/>
                <w:b/>
                <w:bCs/>
                <w:color w:val="1D2B36"/>
                <w:sz w:val="18"/>
                <w:szCs w:val="18"/>
                <w:rtl/>
              </w:rPr>
              <w:t xml:space="preserve">إعادة محاضرات في ربعين مختلفين</w:t>
            </w:r>
            <w:r>
              <w:rPr>
                <w:rFonts w:ascii="Arial" w:cs="Arial" w:hAnsi="Arial"/>
                <w:color w:val="1D2B36"/>
                <w:sz w:val="18"/>
                <w:szCs w:val="18"/>
                <w:rtl/>
              </w:rPr>
              <w:t xml:space="preserve"> وجهدًا تنسيقيًا متكررًا، مع </w:t>
            </w:r>
            <w:r>
              <w:rPr>
                <w:rFonts w:ascii="Arial" w:cs="Arial" w:hAnsi="Arial"/>
                <w:b/>
                <w:bCs/>
                <w:color w:val="1D2B36"/>
                <w:sz w:val="18"/>
                <w:szCs w:val="18"/>
                <w:rtl/>
              </w:rPr>
              <w:t xml:space="preserve">غياب آلية منهجية لقياس أثر التعلّم</w:t>
            </w:r>
            <w:r>
              <w:rPr>
                <w:rFonts w:ascii="Arial" w:cs="Arial" w:hAnsi="Arial"/>
                <w:color w:val="1D2B36"/>
                <w:sz w:val="18"/>
                <w:szCs w:val="18"/>
                <w:rtl/>
              </w:rPr>
              <w:t xml:space="preserve">؛ وهو ما ينعكس على جاهزية الكادر التمريضي وجودة الرعاية المقدمة للمستفيدين.</w:t>
            </w:r>
          </w:p>
          <w:p>
            <w:pPr>
              <w:spacing w:after="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jc w:val="both"/>
            </w:pPr>
            <w:r>
              <w:rPr>
                <w:rFonts w:ascii="Arial" w:cs="Arial" w:hAnsi="Arial"/>
                <w:color w:val="1D2B36"/>
                <w:sz w:val="18"/>
                <w:szCs w:val="18"/>
                <w:rtl/>
              </w:rPr>
              <w:t xml:space="preserve">رفع نسبة إنجاز المستهدفات الأكاديمية للتدريب التمريضي في 10 مراكز رعاية صحية أولية </w:t>
            </w:r>
            <w:r>
              <w:rPr>
                <w:rFonts w:ascii="Arial" w:cs="Arial" w:hAnsi="Arial"/>
                <w:b/>
                <w:bCs/>
                <w:color w:val="1D2B36"/>
                <w:sz w:val="18"/>
                <w:szCs w:val="18"/>
                <w:rtl/>
              </w:rPr>
              <w:t xml:space="preserve">من 69.60% إلى 100%</w:t>
            </w:r>
            <w:r>
              <w:rPr>
                <w:rFonts w:ascii="Arial" w:cs="Arial" w:hAnsi="Arial"/>
                <w:color w:val="1D2B36"/>
                <w:sz w:val="18"/>
                <w:szCs w:val="18"/>
                <w:rtl/>
              </w:rPr>
              <w:t xml:space="preserve"> خلال الفترة </w:t>
            </w:r>
            <w:r>
              <w:rPr>
                <w:rFonts w:ascii="Arial" w:cs="Arial" w:hAnsi="Arial"/>
                <w:b/>
                <w:bCs/>
                <w:color w:val="1D2B36"/>
                <w:sz w:val="18"/>
                <w:szCs w:val="18"/>
                <w:rtl/>
              </w:rPr>
              <w:t xml:space="preserve">مارس – أكتوبر 2026</w:t>
            </w:r>
            <w:r>
              <w:rPr>
                <w:rFonts w:ascii="Arial" w:cs="Arial" w:hAnsi="Arial"/>
                <w:color w:val="1D2B36"/>
                <w:sz w:val="18"/>
                <w:szCs w:val="18"/>
                <w:rtl/>
              </w:rPr>
              <w:t xml:space="preserve">، عبر منصة تعلّم مدمج موحدة تتيح 5 محاضرات مسجلة تغطي 12 موضوعًا للفئة المستهدفة (55 ممرضًا وممرضة)، مع تحقيق:</w:t>
            </w:r>
          </w:p>
          <w:p>
            <w:pPr>
              <w:bidi/>
              <w:spacing w:after="40" w:before="0" w:line="260"/>
            </w:pPr>
            <w:r>
              <w:rPr>
                <w:rFonts w:ascii="Arial" w:cs="Arial" w:hAnsi="Arial"/>
                <w:b/>
                <w:bCs/>
                <w:color w:val="1D2B36"/>
                <w:sz w:val="18"/>
                <w:szCs w:val="18"/>
                <w:rtl/>
              </w:rPr>
              <w:t xml:space="preserve">• نسبة استخدام للمنصة ≥ 80% </w:t>
            </w:r>
            <w:r>
              <w:rPr>
                <w:rFonts w:ascii="Arial" w:cs="Arial" w:hAnsi="Arial"/>
                <w:color w:val="1D2B36"/>
                <w:sz w:val="18"/>
                <w:szCs w:val="18"/>
                <w:rtl/>
              </w:rPr>
              <w:t xml:space="preserve">من المستهدفين.</w:t>
            </w:r>
          </w:p>
          <w:p>
            <w:pPr>
              <w:bidi/>
              <w:spacing w:after="40" w:before="0" w:line="260"/>
            </w:pPr>
            <w:r>
              <w:rPr>
                <w:rFonts w:ascii="Arial" w:cs="Arial" w:hAnsi="Arial"/>
                <w:b/>
                <w:bCs/>
                <w:color w:val="1D2B36"/>
                <w:sz w:val="18"/>
                <w:szCs w:val="18"/>
                <w:rtl/>
              </w:rPr>
              <w:t xml:space="preserve">• تحسّن ≥ 10 نقاط مئوية </w:t>
            </w:r>
            <w:r>
              <w:rPr>
                <w:rFonts w:ascii="Arial" w:cs="Arial" w:hAnsi="Arial"/>
                <w:color w:val="1D2B36"/>
                <w:sz w:val="18"/>
                <w:szCs w:val="18"/>
                <w:rtl/>
              </w:rPr>
              <w:t xml:space="preserve">بين متوسطي الاختبار القبلي والبعدي.</w:t>
            </w:r>
          </w:p>
          <w:p>
            <w:pPr>
              <w:bidi/>
              <w:spacing w:after="40" w:before="0" w:line="260"/>
            </w:pPr>
            <w:r>
              <w:rPr>
                <w:rFonts w:ascii="Arial" w:cs="Arial" w:hAnsi="Arial"/>
                <w:b/>
                <w:bCs/>
                <w:color w:val="1D2B36"/>
                <w:sz w:val="18"/>
                <w:szCs w:val="18"/>
                <w:rtl/>
              </w:rPr>
              <w:t xml:space="preserve">• متوسط ≥ 80% </w:t>
            </w:r>
            <w:r>
              <w:rPr>
                <w:rFonts w:ascii="Arial" w:cs="Arial" w:hAnsi="Arial"/>
                <w:color w:val="1D2B36"/>
                <w:sz w:val="18"/>
                <w:szCs w:val="18"/>
                <w:rtl/>
              </w:rPr>
              <w:t xml:space="preserve">في اختبار الاحتفاظ اللاحق بالمعلومات.</w:t>
            </w:r>
          </w:p>
          <w:p>
            <w:pPr>
              <w:bidi/>
              <w:spacing w:after="60" w:before="0" w:line="260"/>
            </w:pPr>
            <w:r>
              <w:rPr>
                <w:rFonts w:ascii="Arial" w:cs="Arial" w:hAnsi="Arial"/>
                <w:color w:val="1D2B36"/>
                <w:sz w:val="18"/>
                <w:szCs w:val="18"/>
                <w:rtl/>
              </w:rPr>
              <w:t xml:space="preserve">مع تعزيز التطبيق العملي عبر ورش داخل المراكز الصحية.</w:t>
            </w:r>
          </w:p>
          <w:p>
            <w:pPr>
              <w:spacing w:after="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79070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p>
      <w:pPr>
        <w:pageBreakBefore/>
      </w:pP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Steps (FOCUS – PDCA)  </w:t>
            </w:r>
            <w:r>
              <w:rPr>
                <w:rFonts w:ascii="Arial" w:cs="Arial" w:hAnsi="Arial"/>
                <w:b/>
                <w:bCs/>
                <w:color w:val="FFFFFF"/>
                <w:sz w:val="20"/>
                <w:szCs w:val="20"/>
                <w:rtl/>
              </w:rPr>
              <w:t xml:space="preserve">خطوات المشروع تبعًا لمنهجية</w:t>
            </w:r>
          </w:p>
        </w:tc>
      </w:tr>
      <w:tr>
        <w:trPr>
          <w:cantSplit/>
          <w:tblHeader/>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FOCUS Steps / Description / Tools</w:t>
            </w:r>
          </w:p>
          <w:p>
            <w:pPr>
              <w:bidi/>
              <w:spacing w:after="0" w:before="0" w:line="260"/>
              <w:jc w:val="center"/>
            </w:pPr>
            <w:r>
              <w:rPr>
                <w:rFonts w:ascii="Arial" w:cs="Arial" w:hAnsi="Arial"/>
                <w:b/>
                <w:bCs/>
                <w:color w:val="0B3C5D"/>
                <w:sz w:val="17"/>
                <w:szCs w:val="17"/>
                <w:rtl/>
              </w:rPr>
              <w:t xml:space="preserve">الخطوات / الشرح / الأدوات</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والمخططات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F: Find – </w:t>
            </w:r>
            <w:r>
              <w:rPr>
                <w:rFonts w:ascii="Arial" w:cs="Arial" w:hAnsi="Arial"/>
                <w:b/>
                <w:bCs/>
                <w:color w:val="0B3C5D"/>
                <w:sz w:val="20"/>
                <w:szCs w:val="20"/>
                <w:rtl/>
              </w:rPr>
              <w:t xml:space="preserve">إيجاد المشكلة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مراجعة المؤشرات الأكاديمية المعتمدة لعامي 2024 و2025 لخمسة مجالات تدريبية في 10 مراكز، ومقارنة المتحقق بالمستهدف. بلغ المتوسط المرجح للإنجاز </w:t>
            </w:r>
            <w:r>
              <w:rPr>
                <w:rFonts w:ascii="Arial" w:cs="Arial" w:hAnsi="Arial"/>
                <w:b/>
                <w:bCs/>
                <w:color w:val="1D2B36"/>
                <w:sz w:val="18"/>
                <w:szCs w:val="18"/>
                <w:rtl/>
              </w:rPr>
              <w:t xml:space="preserve">69.60%</w:t>
            </w:r>
            <w:r>
              <w:rPr>
                <w:rFonts w:ascii="Arial" w:cs="Arial" w:hAnsi="Arial"/>
                <w:color w:val="1D2B36"/>
                <w:sz w:val="18"/>
                <w:szCs w:val="18"/>
                <w:rtl/>
              </w:rPr>
              <w:t xml:space="preserve">، وتراوح إنجاز 2024 بين 9.5% و72.7%. ورغم التحسن الجزئي في 2025 بتكثيف محاضرات Zoom وإعادة بعضها، استمر الاعتماد على مواعيد ثابتة. حُدِّد نطاق التحسين بعملية </w:t>
            </w:r>
            <w:r>
              <w:rPr>
                <w:rFonts w:ascii="Arial" w:cs="Arial" w:hAnsi="Arial"/>
                <w:b/>
                <w:bCs/>
                <w:color w:val="1D2B36"/>
                <w:sz w:val="18"/>
                <w:szCs w:val="18"/>
                <w:rtl/>
              </w:rPr>
              <w:t xml:space="preserve">«تقديم التدريب النظري وقياس أثره»</w:t>
            </w:r>
            <w:r>
              <w:rPr>
                <w:rFonts w:ascii="Arial" w:cs="Arial" w:hAnsi="Arial"/>
                <w:color w:val="1D2B36"/>
                <w:sz w:val="18"/>
                <w:szCs w:val="18"/>
                <w:rtl/>
              </w:rPr>
              <w:t xml:space="preserve"> دون تغيير الموضوعات الأكاديمية المعتمدة.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تحليل فجوات الأداء (Gap Analysis) + مراجعة البيانات التاريخية</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O: Organize Team – </w:t>
            </w:r>
            <w:r>
              <w:rPr>
                <w:rFonts w:ascii="Arial" w:cs="Arial" w:hAnsi="Arial"/>
                <w:b/>
                <w:bCs/>
                <w:color w:val="0B3C5D"/>
                <w:sz w:val="20"/>
                <w:szCs w:val="20"/>
                <w:rtl/>
              </w:rPr>
              <w:t xml:space="preserve">تشكيل الفريق</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مبادرة بقيادة </w:t>
            </w:r>
            <w:r>
              <w:rPr>
                <w:rFonts w:ascii="Arial" w:cs="Arial" w:hAnsi="Arial"/>
                <w:b/>
                <w:bCs/>
                <w:color w:val="1D2B36"/>
                <w:sz w:val="18"/>
                <w:szCs w:val="18"/>
                <w:rtl/>
              </w:rPr>
              <w:t xml:space="preserve">مشرفة التدريب والتعليم التمريضي</w:t>
            </w:r>
            <w:r>
              <w:rPr>
                <w:rFonts w:ascii="Arial" w:cs="Arial" w:hAnsi="Arial"/>
                <w:color w:val="1D2B36"/>
                <w:sz w:val="18"/>
                <w:szCs w:val="18"/>
                <w:rtl/>
              </w:rPr>
              <w:t xml:space="preserve"> (المساءلة والتنفيذ: تحليل البيانات، تصميم التدخل، إعداد المحتوى والاختبارات، التنسيق مع المراكز، قياس النتائج)، بدعم </w:t>
            </w:r>
            <w:r>
              <w:rPr>
                <w:rFonts w:ascii="Arial" w:cs="Arial" w:hAnsi="Arial"/>
                <w:b/>
                <w:bCs/>
                <w:color w:val="1D2B36"/>
                <w:sz w:val="18"/>
                <w:szCs w:val="18"/>
                <w:rtl/>
              </w:rPr>
              <w:t xml:space="preserve">مطوّر تقني</w:t>
            </w:r>
            <w:r>
              <w:rPr>
                <w:rFonts w:ascii="Arial" w:cs="Arial" w:hAnsi="Arial"/>
                <w:color w:val="1D2B36"/>
                <w:sz w:val="18"/>
                <w:szCs w:val="18"/>
                <w:rtl/>
              </w:rPr>
              <w:t xml:space="preserve"> لبرمجة المنصة وفق المتطلبات المحددة، وبالتنسيق مع </w:t>
            </w:r>
            <w:r>
              <w:rPr>
                <w:rFonts w:ascii="Arial" w:cs="Arial" w:hAnsi="Arial"/>
                <w:b/>
                <w:bCs/>
                <w:color w:val="1D2B36"/>
                <w:sz w:val="18"/>
                <w:szCs w:val="18"/>
                <w:rtl/>
              </w:rPr>
              <w:t xml:space="preserve">المراكز الصحية العشرة</w:t>
            </w:r>
            <w:r>
              <w:rPr>
                <w:rFonts w:ascii="Arial" w:cs="Arial" w:hAnsi="Arial"/>
                <w:color w:val="1D2B36"/>
                <w:sz w:val="18"/>
                <w:szCs w:val="18"/>
                <w:rtl/>
              </w:rPr>
              <w:t xml:space="preserve"> لتسهيل التطبيق والورش. وُثِّقت الأدوار في مصفوفة RACI لضمان وضوح المساءلة ومنع ازدواج المهام.</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مصفوفة المسؤوليات (RACI Matrix)</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C: Clarity – </w:t>
            </w:r>
            <w:r>
              <w:rPr>
                <w:rFonts w:ascii="Arial" w:cs="Arial" w:hAnsi="Arial"/>
                <w:b/>
                <w:bCs/>
                <w:color w:val="0B3C5D"/>
                <w:sz w:val="20"/>
                <w:szCs w:val="20"/>
                <w:rtl/>
              </w:rPr>
              <w:t xml:space="preserve">توضيح العملية المتعلقة بالمشكلة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رُسمت العملية الحالية (As-Is) في 5 خطوات وحُدِّدت </w:t>
            </w:r>
            <w:r>
              <w:rPr>
                <w:rFonts w:ascii="Arial" w:cs="Arial" w:hAnsi="Arial"/>
                <w:b/>
                <w:bCs/>
                <w:color w:val="1D2B36"/>
                <w:sz w:val="18"/>
                <w:szCs w:val="18"/>
                <w:rtl/>
              </w:rPr>
              <w:t xml:space="preserve">4 نقاط اختناق/هدر</w:t>
            </w:r>
            <w:r>
              <w:rPr>
                <w:rFonts w:ascii="Arial" w:cs="Arial" w:hAnsi="Arial"/>
                <w:color w:val="1D2B36"/>
                <w:sz w:val="18"/>
                <w:szCs w:val="18"/>
                <w:rtl/>
              </w:rPr>
              <w:t xml:space="preserve">: الموعد الثابت للبث، والتنسيق المتكرر مع 10 مراكز، وتعارض الحضور مع المناوبات، وإعادة المحاضرة لمن تغيّب، مع غياب نقطة لقياس أثر التعلّم. ثم صُمِّمت العملية المستهدفة (To-Be) مسارَ تعلّمٍ مدمج عند الطلب: </w:t>
            </w:r>
            <w:r>
              <w:rPr>
                <w:rFonts w:ascii="Arial" w:cs="Arial" w:hAnsi="Arial"/>
                <w:b/>
                <w:bCs/>
                <w:color w:val="1D2B36"/>
                <w:sz w:val="18"/>
                <w:szCs w:val="18"/>
                <w:rtl/>
              </w:rPr>
              <w:t xml:space="preserve">دخول المنصة ← اختبار قبلي ← محتوى مسجّل ← اختبار بعدي ← اختبار احتفاظ وورشة تطبيقية.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مخطط سير العملية قبل/بعد (Process Flowchart: As-Is / To-Be)</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U: Understand – </w:t>
            </w:r>
            <w:r>
              <w:rPr>
                <w:rFonts w:ascii="Arial" w:cs="Arial" w:hAnsi="Arial"/>
                <w:b/>
                <w:bCs/>
                <w:color w:val="0B3C5D"/>
                <w:sz w:val="20"/>
                <w:szCs w:val="20"/>
                <w:rtl/>
              </w:rPr>
              <w:t xml:space="preserve">تحديد الأسباب الجذرية للمشكلة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صُنِّفت الأسباب المحتملة في </w:t>
            </w:r>
            <w:r>
              <w:rPr>
                <w:rFonts w:ascii="Arial" w:cs="Arial" w:hAnsi="Arial"/>
                <w:b/>
                <w:bCs/>
                <w:color w:val="1D2B36"/>
                <w:sz w:val="18"/>
                <w:szCs w:val="18"/>
                <w:rtl/>
              </w:rPr>
              <w:t xml:space="preserve">6 محاور</w:t>
            </w:r>
            <w:r>
              <w:rPr>
                <w:rFonts w:ascii="Arial" w:cs="Arial" w:hAnsi="Arial"/>
                <w:color w:val="1D2B36"/>
                <w:sz w:val="18"/>
                <w:szCs w:val="18"/>
                <w:rtl/>
              </w:rPr>
              <w:t xml:space="preserve"> (طريقة التقديم، الكوادر والمناوبات، التوزيع الجغرافي، الوصول إلى المحتوى، قياس الأثر، التنسيق والمتابعة)، ثم طُبِّق «لماذا الخمس»: </w:t>
            </w:r>
            <w:r>
              <w:rPr>
                <w:rFonts w:ascii="Arial" w:cs="Arial" w:hAnsi="Arial"/>
                <w:color w:val="1D2B36"/>
                <w:sz w:val="18"/>
                <w:szCs w:val="18"/>
                <w:rtl/>
              </w:rPr>
              <w:t xml:space="preserve">لماذا لم تتحقق المستهدفات؟ لصعوبة حضور الكادر ← لأن الحضور مرتبط بموعد بث ثابت ← لأن التدريب متزامن فقط ← لعدم وجود محتوى مسجّل ومنصة موحدة ← لغياب مسار رقمي متكامل للتعلّم والقياس. </w:t>
            </w:r>
            <w:r>
              <w:rPr>
                <w:rFonts w:ascii="Arial" w:cs="Arial" w:hAnsi="Arial"/>
                <w:b/>
                <w:bCs/>
                <w:color w:val="1D2B36"/>
                <w:sz w:val="18"/>
                <w:szCs w:val="18"/>
                <w:rtl/>
              </w:rPr>
              <w:t xml:space="preserve">السببان الجذريان: </w:t>
            </w:r>
            <w:r>
              <w:rPr>
                <w:rFonts w:ascii="Arial" w:cs="Arial" w:hAnsi="Arial"/>
                <w:color w:val="1D2B36"/>
                <w:sz w:val="18"/>
                <w:szCs w:val="18"/>
                <w:rtl/>
              </w:rPr>
              <w:t xml:space="preserve">(1) ارتباط التدريب النظري بموعد متزامن واحد لا يتوافق مع المناوبات، (2) غياب مسار منهجي لقياس التعلّم يوجّه المتابعة. واستُبعد «غياب المؤشرات» لأنها معتمدة ومتاحة.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مخطط عظمة السمكة (Fishbone / Ishikawa) + تحليل لماذا الخمس (5 Whys)</w:t>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spacing w:after="0"/>
              <w:jc w:val="center"/>
            </w:pPr>
            <w:r>
              <w:drawing>
                <wp:inline distT="0" distB="0" distL="0" distR="0">
                  <wp:extent cx="61912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095625"/>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S: Select – </w:t>
            </w:r>
            <w:r>
              <w:rPr>
                <w:rFonts w:ascii="Arial" w:cs="Arial" w:hAnsi="Arial"/>
                <w:b/>
                <w:bCs/>
                <w:color w:val="0B3C5D"/>
                <w:sz w:val="20"/>
                <w:szCs w:val="20"/>
                <w:rtl/>
              </w:rPr>
              <w:t xml:space="preserve">تحديد الحلول للمشكلة مرتبة حسب الأولويات</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قورنت </w:t>
            </w:r>
            <w:r>
              <w:rPr>
                <w:rFonts w:ascii="Arial" w:cs="Arial" w:hAnsi="Arial"/>
                <w:b/>
                <w:bCs/>
                <w:color w:val="1D2B36"/>
                <w:sz w:val="18"/>
                <w:szCs w:val="18"/>
                <w:rtl/>
              </w:rPr>
              <w:t xml:space="preserve">3 بدائل</w:t>
            </w:r>
            <w:r>
              <w:rPr>
                <w:rFonts w:ascii="Arial" w:cs="Arial" w:hAnsi="Arial"/>
                <w:color w:val="1D2B36"/>
                <w:sz w:val="18"/>
                <w:szCs w:val="18"/>
                <w:rtl/>
              </w:rPr>
              <w:t xml:space="preserve"> وفق </w:t>
            </w:r>
            <w:r>
              <w:rPr>
                <w:rFonts w:ascii="Arial" w:cs="Arial" w:hAnsi="Arial"/>
                <w:b/>
                <w:bCs/>
                <w:color w:val="1D2B36"/>
                <w:sz w:val="18"/>
                <w:szCs w:val="18"/>
                <w:rtl/>
              </w:rPr>
              <w:t xml:space="preserve">6 معايير</w:t>
            </w:r>
            <w:r>
              <w:rPr>
                <w:rFonts w:ascii="Arial" w:cs="Arial" w:hAnsi="Arial"/>
                <w:color w:val="1D2B36"/>
                <w:sz w:val="18"/>
                <w:szCs w:val="18"/>
                <w:rtl/>
              </w:rPr>
              <w:t xml:space="preserve"> (مرونة التوقيت، ملاءمة المراكز الطرفية، قياس التحسن المعرفي، التطبيق العملي، الجهد التنظيمي، شمولية معالجة الأسباب). اختير </w:t>
            </w:r>
            <w:r>
              <w:rPr>
                <w:rFonts w:ascii="Arial" w:cs="Arial" w:hAnsi="Arial"/>
                <w:b/>
                <w:bCs/>
                <w:color w:val="1D2B36"/>
                <w:sz w:val="18"/>
                <w:szCs w:val="18"/>
                <w:rtl/>
              </w:rPr>
              <w:t xml:space="preserve">التعلّم المدمج</w:t>
            </w:r>
            <w:r>
              <w:rPr>
                <w:rFonts w:ascii="Arial" w:cs="Arial" w:hAnsi="Arial"/>
                <w:color w:val="1D2B36"/>
                <w:sz w:val="18"/>
                <w:szCs w:val="18"/>
                <w:rtl/>
              </w:rPr>
              <w:t xml:space="preserve">: منصة موحدة بمحتوى مسجّل واختبارات قبلية/بعدية/لاحقة + ورش تطبيقية قصيرة داخل المراكز؛ لأنه البديل الوحيد الذي يعالج السببين الجذريين معًا. ويتّسق الاختيار مع الأدلة العلمية؛ إذ أظهرت مراجعة منهجية وتحليل تلوي (Liu et al., 2016) أن التعلّم المدمج في المهن الصحية يحقق نتائج معرفية أفضل من التعليم التقليدي أو مماثلة له.</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مصفوفة المفاضلة بين الحلول (Solution Selection Matrix)</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169545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Steps (FOCUS – PDCA)  </w:t>
            </w:r>
            <w:r>
              <w:rPr>
                <w:rFonts w:ascii="Arial" w:cs="Arial" w:hAnsi="Arial"/>
                <w:b/>
                <w:bCs/>
                <w:color w:val="FFFFFF"/>
                <w:sz w:val="20"/>
                <w:szCs w:val="20"/>
                <w:rtl/>
              </w:rPr>
              <w:t xml:space="preserve">خطوات المشروع تبعًا لمنهجية</w:t>
            </w:r>
          </w:p>
        </w:tc>
      </w:tr>
      <w:tr>
        <w:trPr>
          <w:cantSplit/>
          <w:tblHeader/>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PDCA Steps / Description / Tools</w:t>
            </w:r>
          </w:p>
          <w:p>
            <w:pPr>
              <w:bidi/>
              <w:spacing w:after="0" w:before="0" w:line="260"/>
              <w:jc w:val="center"/>
            </w:pPr>
            <w:r>
              <w:rPr>
                <w:rFonts w:ascii="Arial" w:cs="Arial" w:hAnsi="Arial"/>
                <w:b/>
                <w:bCs/>
                <w:color w:val="0B3C5D"/>
                <w:sz w:val="17"/>
                <w:szCs w:val="17"/>
                <w:rtl/>
              </w:rPr>
              <w:t xml:space="preserve">الخطوات / الشرح / الأدوات</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والمخططات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P: Plan – </w:t>
            </w:r>
            <w:r>
              <w:rPr>
                <w:rFonts w:ascii="Arial" w:cs="Arial" w:hAnsi="Arial"/>
                <w:b/>
                <w:bCs/>
                <w:color w:val="0B3C5D"/>
                <w:sz w:val="20"/>
                <w:szCs w:val="20"/>
                <w:rtl/>
              </w:rPr>
              <w:t xml:space="preserve">الخطة التنفيذية للحلول</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خطة تنفيذية تحدد لكل نشاط: ماذا، ومن، ومتى، ومؤشر النجاح، على 5 مراحل: تحليل الفجوات واعتماد خط الأساس ومقاييس النجاح في مارس، ثم إعداد المحتوى والاختبارات وبرمجة المنصة مع المطوّر التقني بدءًا من 17 أبريل، ثم التجربة على نطاق صغير بالمراكز الطرفية في مايو، ثم التعميم وتنفيذ الورش في يونيو، ثم المتابعة والقياس حتى أكتوبر. </w:t>
            </w:r>
            <w:r>
              <w:rPr>
                <w:rFonts w:ascii="Arial" w:cs="Arial" w:hAnsi="Arial"/>
                <w:b/>
                <w:bCs/>
                <w:color w:val="1D2B36"/>
                <w:sz w:val="18"/>
                <w:szCs w:val="18"/>
                <w:rtl/>
              </w:rPr>
              <w:t xml:space="preserve">حُدِّدت 4 مؤشرات نجاح مرتبطة مباشرة بالهدف الذكي.</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خطة العمل ومخطط جانت (Action Plan / Gantt Chart)</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D: Do – </w:t>
            </w:r>
            <w:r>
              <w:rPr>
                <w:rFonts w:ascii="Arial" w:cs="Arial" w:hAnsi="Arial"/>
                <w:b/>
                <w:bCs/>
                <w:color w:val="0B3C5D"/>
                <w:sz w:val="20"/>
                <w:szCs w:val="20"/>
                <w:rtl/>
              </w:rPr>
              <w:t xml:space="preserve">تنفيذ الخطة (نطاق صغير)</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بدأ </w:t>
            </w:r>
            <w:r>
              <w:rPr>
                <w:rFonts w:ascii="Arial" w:cs="Arial" w:hAnsi="Arial"/>
                <w:b/>
                <w:bCs/>
                <w:color w:val="1D2B36"/>
                <w:sz w:val="18"/>
                <w:szCs w:val="18"/>
                <w:rtl/>
              </w:rPr>
              <w:t xml:space="preserve">التطبيق التجريبي في مايو 2026 بالمراكز الطرفية</w:t>
            </w:r>
            <w:r>
              <w:rPr>
                <w:rFonts w:ascii="Arial" w:cs="Arial" w:hAnsi="Arial"/>
                <w:color w:val="1D2B36"/>
                <w:sz w:val="18"/>
                <w:szCs w:val="18"/>
                <w:rtl/>
              </w:rPr>
              <w:t xml:space="preserve"> (الأكثر تأثرًا بالبعد الجغرافي) للتحقق من سهولة الدخول ووضوح المحتوى وعمل الاختبارات، ثم </w:t>
            </w:r>
            <w:r>
              <w:rPr>
                <w:rFonts w:ascii="Arial" w:cs="Arial" w:hAnsi="Arial"/>
                <w:b/>
                <w:bCs/>
                <w:color w:val="1D2B36"/>
                <w:sz w:val="18"/>
                <w:szCs w:val="18"/>
                <w:rtl/>
              </w:rPr>
              <w:t xml:space="preserve">عُمِّم في يونيو على المراكز العشرة</w:t>
            </w:r>
            <w:r>
              <w:rPr>
                <w:rFonts w:ascii="Arial" w:cs="Arial" w:hAnsi="Arial"/>
                <w:color w:val="1D2B36"/>
                <w:sz w:val="18"/>
                <w:szCs w:val="18"/>
                <w:rtl/>
              </w:rPr>
              <w:t xml:space="preserve">. أُتيحت 5 محاضرات مسجلة تغطي 12 موضوعًا مع اختبارات إلكترونية قبلية وبعدية لكل موضوع، ونُفِّذت 10 ورش تطبيقية داخل المراكز، مع متابعة الدخول وإتمام التقييمات دون الحاجة إلى مواعيد بث مباشر متكررة.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قائمة التحقق من التنفيذ (Implementation Checklist) + التجربة المرحلية (Pilot)</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C: Check – </w:t>
            </w:r>
            <w:r>
              <w:rPr>
                <w:rFonts w:ascii="Arial" w:cs="Arial" w:hAnsi="Arial"/>
                <w:b/>
                <w:bCs/>
                <w:color w:val="0B3C5D"/>
                <w:sz w:val="20"/>
                <w:szCs w:val="20"/>
                <w:rtl/>
              </w:rPr>
              <w:t xml:space="preserve">متابعة وتقييم التنفيذ</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قيس الأثر على مستوى «التعلّم» (المستوى الثاني في نموذج Kirkpatrick) عبر </w:t>
            </w:r>
            <w:r>
              <w:rPr>
                <w:rFonts w:ascii="Arial" w:cs="Arial" w:hAnsi="Arial"/>
                <w:b/>
                <w:bCs/>
                <w:color w:val="1D2B36"/>
                <w:sz w:val="18"/>
                <w:szCs w:val="18"/>
                <w:rtl/>
              </w:rPr>
              <w:t xml:space="preserve">62 سجل تقييم مقترن</w:t>
            </w:r>
            <w:r>
              <w:rPr>
                <w:rFonts w:ascii="Arial" w:cs="Arial" w:hAnsi="Arial"/>
                <w:color w:val="1D2B36"/>
                <w:sz w:val="18"/>
                <w:szCs w:val="18"/>
                <w:rtl/>
              </w:rPr>
              <w:t xml:space="preserve">: ارتفع المتوسط المرجح من </w:t>
            </w:r>
            <w:r>
              <w:rPr>
                <w:rFonts w:ascii="Arial" w:cs="Arial" w:hAnsi="Arial"/>
                <w:b/>
                <w:bCs/>
                <w:color w:val="1D2B36"/>
                <w:sz w:val="18"/>
                <w:szCs w:val="18"/>
                <w:rtl/>
              </w:rPr>
              <w:t xml:space="preserve">78.45% إلى 90.66%</w:t>
            </w:r>
            <w:r>
              <w:rPr>
                <w:rFonts w:ascii="Arial" w:cs="Arial" w:hAnsi="Arial"/>
                <w:color w:val="1D2B36"/>
                <w:sz w:val="18"/>
                <w:szCs w:val="18"/>
                <w:rtl/>
              </w:rPr>
              <w:t xml:space="preserve"> (+12.21 نقطة مئوية؛ تحسّن نسبي 15.6%)، وبلغ متوسط الاختبار الورقي اللاحق للاحتفاظ بالمعلومات </w:t>
            </w:r>
            <w:r>
              <w:rPr>
                <w:rFonts w:ascii="Arial" w:cs="Arial" w:hAnsi="Arial"/>
                <w:b/>
                <w:bCs/>
                <w:color w:val="1D2B36"/>
                <w:sz w:val="18"/>
                <w:szCs w:val="18"/>
                <w:rtl/>
              </w:rPr>
              <w:t xml:space="preserve">85.68%</w:t>
            </w:r>
            <w:r>
              <w:rPr>
                <w:rFonts w:ascii="Arial" w:cs="Arial" w:hAnsi="Arial"/>
                <w:color w:val="1D2B36"/>
                <w:sz w:val="18"/>
                <w:szCs w:val="18"/>
                <w:rtl/>
              </w:rPr>
              <w:t xml:space="preserve"> (37 نتيجة). واستخدم المنصة </w:t>
            </w:r>
            <w:r>
              <w:rPr>
                <w:rFonts w:ascii="Arial" w:cs="Arial" w:hAnsi="Arial"/>
                <w:b/>
                <w:bCs/>
                <w:color w:val="1D2B36"/>
                <w:sz w:val="18"/>
                <w:szCs w:val="18"/>
                <w:rtl/>
              </w:rPr>
              <w:t xml:space="preserve">45 من 55 مستهدفًا (81.8%)</w:t>
            </w:r>
            <w:r>
              <w:rPr>
                <w:rFonts w:ascii="Arial" w:cs="Arial" w:hAnsi="Arial"/>
                <w:color w:val="1D2B36"/>
                <w:sz w:val="18"/>
                <w:szCs w:val="18"/>
                <w:rtl/>
              </w:rPr>
              <w:t xml:space="preserve">، وتحققت مستهدفات الخطة الأكاديمية للأرباع الثلاثة الأولى من 2026 بنسبة </w:t>
            </w:r>
            <w:r>
              <w:rPr>
                <w:rFonts w:ascii="Arial" w:cs="Arial" w:hAnsi="Arial"/>
                <w:b/>
                <w:bCs/>
                <w:color w:val="1D2B36"/>
                <w:sz w:val="18"/>
                <w:szCs w:val="18"/>
                <w:rtl/>
              </w:rPr>
              <w:t xml:space="preserve">100%</w:t>
            </w:r>
            <w:r>
              <w:rPr>
                <w:rFonts w:ascii="Arial" w:cs="Arial" w:hAnsi="Arial"/>
                <w:color w:val="1D2B36"/>
                <w:sz w:val="18"/>
                <w:szCs w:val="18"/>
                <w:rtl/>
              </w:rPr>
              <w:t xml:space="preserve"> مقابل خط أساس 69.60%.</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تحليل قبلي–بعدي (Pre–Post Analysis) + لوحة مؤشرات (KPI Dashboard) + مخطط التشغيل (Run Chart)</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A: Act – </w:t>
            </w:r>
            <w:r>
              <w:rPr>
                <w:rFonts w:ascii="Arial" w:cs="Arial" w:hAnsi="Arial"/>
                <w:b/>
                <w:bCs/>
                <w:color w:val="0B3C5D"/>
                <w:sz w:val="20"/>
                <w:szCs w:val="20"/>
                <w:rtl/>
              </w:rPr>
              <w:t xml:space="preserve">تعميم التنفيذ والاستمرارية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يُحافَظ على التعلّم المدمج قناةً ثابتة للتدريب النظري في المراكز العشرة وفق </w:t>
            </w:r>
            <w:r>
              <w:rPr>
                <w:rFonts w:ascii="Arial" w:cs="Arial" w:hAnsi="Arial"/>
                <w:b/>
                <w:bCs/>
                <w:color w:val="1D2B36"/>
                <w:sz w:val="18"/>
                <w:szCs w:val="18"/>
                <w:rtl/>
              </w:rPr>
              <w:t xml:space="preserve">خطة ضبط</w:t>
            </w:r>
            <w:r>
              <w:rPr>
                <w:rFonts w:ascii="Arial" w:cs="Arial" w:hAnsi="Arial"/>
                <w:color w:val="1D2B36"/>
                <w:sz w:val="18"/>
                <w:szCs w:val="18"/>
                <w:rtl/>
              </w:rPr>
              <w:t xml:space="preserve"> تحدد لكل مؤشر تكرار المتابعة وحدّ التدخل؛ وأي انحراف يُطلق دورة PDCA جديدة. وتشمل الاستدامة: تحديث المحتوى وفق الأدلة الإرشادية، وتوظيف نتائج الاختبارات لتحديد الفجوات المعرفية وتوجيه الخطة التدريبية المقبلة. </w:t>
            </w:r>
            <w:r>
              <w:rPr>
                <w:rFonts w:ascii="Arial" w:cs="Arial" w:hAnsi="Arial"/>
                <w:b/>
                <w:bCs/>
                <w:color w:val="1D2B36"/>
                <w:sz w:val="18"/>
                <w:szCs w:val="18"/>
                <w:rtl/>
              </w:rPr>
              <w:t xml:space="preserve">فرص التعميم: </w:t>
            </w:r>
            <w:r>
              <w:rPr>
                <w:rFonts w:ascii="Arial" w:cs="Arial" w:hAnsi="Arial"/>
                <w:color w:val="1D2B36"/>
                <w:sz w:val="18"/>
                <w:szCs w:val="18"/>
                <w:rtl/>
              </w:rPr>
              <w:t xml:space="preserve">إدراج المحتوى ضمن تهيئة الموظفين الجدد، ونقل التجربة إلى قطاعات وفئات مهنية أخرى بالتجمع.</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خطة الضبط (Control Plan) + التوحيد القياسي (Standardization)</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14625" cy="169545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Results (achievements)  </w:t>
            </w:r>
            <w:r>
              <w:rPr>
                <w:rFonts w:ascii="Arial" w:cs="Arial" w:hAnsi="Arial"/>
                <w:b/>
                <w:bCs/>
                <w:color w:val="FFFFFF"/>
                <w:sz w:val="20"/>
                <w:szCs w:val="20"/>
                <w:rtl/>
              </w:rPr>
              <w:t xml:space="preserve">نتائج المشروع (الإنجاز)</w:t>
            </w:r>
          </w:p>
        </w:tc>
      </w:tr>
      <w:tr>
        <w:trPr>
          <w:cantSplit/>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Illustrate improvement (pre and post project)</w:t>
            </w:r>
          </w:p>
          <w:p>
            <w:pPr>
              <w:bidi/>
              <w:spacing w:after="0" w:before="0" w:line="260"/>
              <w:jc w:val="center"/>
            </w:pPr>
            <w:r>
              <w:rPr>
                <w:rFonts w:ascii="Arial" w:cs="Arial" w:hAnsi="Arial"/>
                <w:b/>
                <w:bCs/>
                <w:color w:val="0B3C5D"/>
                <w:sz w:val="17"/>
                <w:szCs w:val="17"/>
                <w:rtl/>
              </w:rPr>
              <w:t xml:space="preserve">توضيح التحسين (قبل وبعد المشروع)</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0B3C5D"/>
                <w:sz w:val="18"/>
                <w:szCs w:val="18"/>
                <w:rtl/>
              </w:rPr>
              <w:t xml:space="preserve">Data Baseline – Target – Improvement</w:t>
            </w:r>
          </w:p>
          <w:p>
            <w:pPr>
              <w:bidi/>
              <w:spacing w:after="60" w:before="0" w:line="260"/>
            </w:pPr>
            <w:r>
              <w:rPr>
                <w:rFonts w:ascii="Arial" w:cs="Arial" w:hAnsi="Arial"/>
                <w:b/>
                <w:bCs/>
                <w:color w:val="0B3C5D"/>
                <w:sz w:val="18"/>
                <w:szCs w:val="18"/>
                <w:rtl/>
              </w:rPr>
              <w:t xml:space="preserve">البيانات الأساسية – المستهدف – التحسين</w:t>
            </w:r>
          </w:p>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Achieved Target (تحقيق المستهدف) فقط</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Exceeded Target (تخطي المستهدف)</w:t>
            </w:r>
            <w:r>
              <w:rPr>
                <w:rFonts w:ascii="Arial" w:cs="Arial" w:hAnsi="Arial"/>
                <w:color w:val="5B6E7C"/>
                <w:sz w:val="16"/>
                <w:szCs w:val="16"/>
                <w:rtl/>
              </w:rPr>
              <w:t xml:space="preserve"> – تجاوزت 3 مؤشرات من 5 مستهدفاتها وتحقق المؤشران الآخران بالكامل</w:t>
            </w:r>
          </w:p>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Not Achieved Target (لم يتحقق المستهدف)</w:t>
            </w:r>
          </w:p>
          <w:p>
            <w:pPr>
              <w:bidi/>
              <w:spacing w:after="40" w:before="40" w:line="260"/>
              <w:jc w:val="both"/>
            </w:pPr>
            <w:r>
              <w:rPr>
                <w:rFonts w:ascii="Arial" w:cs="Arial" w:hAnsi="Arial"/>
                <w:b/>
                <w:bCs/>
                <w:color w:val="1D2B36"/>
                <w:sz w:val="18"/>
                <w:szCs w:val="18"/>
                <w:rtl/>
              </w:rPr>
              <w:t xml:space="preserve">كيف؟ </w:t>
            </w:r>
            <w:r>
              <w:rPr>
                <w:rFonts w:ascii="Arial" w:cs="Arial" w:hAnsi="Arial"/>
                <w:color w:val="1D2B36"/>
                <w:sz w:val="18"/>
                <w:szCs w:val="18"/>
                <w:rtl/>
              </w:rPr>
              <w:t xml:space="preserve">بمعالجة السببين الجذريين معًا: فصل التعلّم النظري عن الموعد الثابت (مرونة تتوافق مع المناوبات)، ودمج القياس في مسار التعلّم (قبلي/بعدي/لاحق) لتوجيه المتابعة.</w:t>
            </w:r>
          </w:p>
          <w:p>
            <w:pPr>
              <w:bidi/>
              <w:spacing w:after="40" w:before="0" w:line="260"/>
              <w:jc w:val="both"/>
            </w:pPr>
            <w:r>
              <w:rPr>
                <w:rFonts w:ascii="Arial" w:cs="Arial" w:hAnsi="Arial"/>
                <w:b/>
                <w:bCs/>
                <w:color w:val="1D2B36"/>
                <w:sz w:val="18"/>
                <w:szCs w:val="18"/>
                <w:rtl/>
              </w:rPr>
              <w:t xml:space="preserve">القيمة النسبية: </w:t>
            </w:r>
            <w:r>
              <w:rPr>
                <w:rFonts w:ascii="Arial" w:cs="Arial" w:hAnsi="Arial"/>
                <w:color w:val="1D2B36"/>
                <w:sz w:val="18"/>
                <w:szCs w:val="18"/>
                <w:rtl/>
              </w:rPr>
              <w:t xml:space="preserve">ارتفاع إنجاز المستهدفات الأكاديمية بنسبة 43.7% مقارنة بخط الأساس (من 69.60% إلى 100%).</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00"/>
              <w:gridCol w:w="1250"/>
              <w:gridCol w:w="1250"/>
              <w:gridCol w:w="1250"/>
              <w:gridCol w:w="1356"/>
              <w:gridCol w:w="2800"/>
            </w:tblGrid>
            <w:tr>
              <w:trPr>
                <w:cantSplit/>
                <w:tblHeader/>
              </w:trPr>
              <w:tc>
                <w:tcPr>
                  <w:tcW w:type="dxa" w:w="24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المؤشر</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خط الأساس</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المستهدف</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المتحقق</w:t>
                  </w:r>
                </w:p>
              </w:tc>
              <w:tc>
                <w:tcPr>
                  <w:tcW w:type="dxa" w:w="1356"/>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التحسن</w:t>
                  </w:r>
                </w:p>
              </w:tc>
              <w:tc>
                <w:tcPr>
                  <w:tcW w:type="dxa" w:w="28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الحالة / كيف تحقق؟</w:t>
                  </w:r>
                </w:p>
              </w:tc>
            </w:tr>
            <w:tr>
              <w:trPr>
                <w:cantSplit/>
              </w:trPr>
              <w:tc>
                <w:tcPr>
                  <w:tcW w:type="dxa" w:w="2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إنجاز المستهدفات الأكاديمية</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69.60%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100%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100%</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+30.40 ن.م</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تحقق المستهدف</w:t>
                  </w:r>
                </w:p>
                <w:p>
                  <w:pPr>
                    <w:bidi/>
                    <w:spacing w:after="0" w:before="0" w:line="260"/>
                  </w:pPr>
                  <w:r>
                    <w:rPr>
                      <w:rFonts w:ascii="Arial" w:cs="Arial" w:hAnsi="Arial"/>
                      <w:color w:val="5B6E7C"/>
                      <w:sz w:val="15"/>
                      <w:szCs w:val="15"/>
                      <w:rtl/>
                    </w:rPr>
                    <w:t xml:space="preserve">إتاحة التعلّم عند الطلب بما يتوافق مع المناوبات</w:t>
                  </w:r>
                </w:p>
              </w:tc>
            </w:tr>
            <w:tr>
              <w:trPr>
                <w:cantSplit/>
              </w:trPr>
              <w:tc>
                <w:tcPr>
                  <w:tcW w:type="dxa" w:w="2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استخدام المنصة من المستهدفين</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80%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81.8% (45/55)</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قناة جديدة</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منصة موحدة لـ10 مراكز بدل مواعيد بث ثابتة</w:t>
                  </w:r>
                </w:p>
              </w:tc>
            </w:tr>
            <w:tr>
              <w:trPr>
                <w:cantSplit/>
              </w:trPr>
              <w:tc>
                <w:tcPr>
                  <w:tcW w:type="dxa" w:w="2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الفرق القبلي – البعدي</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غير مُقاس</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10 ن.م</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+12.21 ن.م</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78.45% ← 90.66%</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محتوى مسجّل قابل للمراجعة + اختبارات مدمجة</w:t>
                  </w:r>
                </w:p>
              </w:tc>
            </w:tr>
            <w:tr>
              <w:trPr>
                <w:cantSplit/>
              </w:trPr>
              <w:tc>
                <w:tcPr>
                  <w:tcW w:type="dxa" w:w="2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اختبار الاحتفاظ اللاحق</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غير مُقاس</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80%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85.68%</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+5.68 ن.م عن المستهدف</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تعزيز بالورش التطبيقية داخل المراكز</w:t>
                  </w:r>
                </w:p>
              </w:tc>
            </w:tr>
            <w:tr>
              <w:trPr>
                <w:cantSplit/>
              </w:trPr>
              <w:tc>
                <w:tcPr>
                  <w:tcW w:type="dxa" w:w="2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تغطية المحتوى التدريبي</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12 موضوعًا / 10 مراكز</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12 / 10</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100%</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تحقق المستهدف</w:t>
                  </w:r>
                </w:p>
                <w:p>
                  <w:pPr>
                    <w:bidi/>
                    <w:spacing w:after="0" w:before="0" w:line="260"/>
                  </w:pPr>
                  <w:r>
                    <w:rPr>
                      <w:rFonts w:ascii="Arial" w:cs="Arial" w:hAnsi="Arial"/>
                      <w:color w:val="5B6E7C"/>
                      <w:sz w:val="15"/>
                      <w:szCs w:val="15"/>
                      <w:rtl/>
                    </w:rPr>
                    <w:t xml:space="preserve">5 محاضرات مسجلة + 10 ورش تطبيقية</w:t>
                  </w:r>
                </w:p>
              </w:tc>
            </w:tr>
          </w:tbl>
          <w:p>
            <w:pPr>
              <w:bidi/>
              <w:spacing w:after="0" w:before="40" w:line="260"/>
            </w:pPr>
            <w:r>
              <w:rPr>
                <w:rFonts w:ascii="Arial" w:cs="Arial" w:hAnsi="Arial"/>
                <w:color w:val="5B6E7C"/>
                <w:sz w:val="14"/>
                <w:szCs w:val="14"/>
                <w:rtl/>
              </w:rPr>
              <w:t xml:space="preserve">ن.م = نقطة مئوية · المقاييس: المؤشرات الأكاديمية المعتمدة، سجلات المنصة، نتائج الاختبارات الإلكترونية والورقية.</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Value Benefits/Impact: What is the improvement outcome?  </w:t>
            </w:r>
            <w:r>
              <w:rPr>
                <w:rFonts w:ascii="Arial" w:cs="Arial" w:hAnsi="Arial"/>
                <w:b/>
                <w:bCs/>
                <w:color w:val="FFFFFF"/>
                <w:sz w:val="20"/>
                <w:szCs w:val="20"/>
                <w:rtl/>
              </w:rPr>
              <w:t xml:space="preserve">القيمة / الفوائد / التأثير: ما هي نتيجة التحسين؟</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Reduced Costs (انخفاض التكاليف)</w:t>
            </w:r>
            <w:r>
              <w:rPr>
                <w:rFonts w:ascii="Arial" w:cs="Arial" w:hAnsi="Arial"/>
                <w:color w:val="5B6E7C"/>
                <w:sz w:val="16"/>
                <w:szCs w:val="16"/>
                <w:rtl/>
              </w:rPr>
              <w:t xml:space="preserve"> – لم تُنسب وفورات مالية غير مُقاسة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Reduced Risks (تقليل المخاطر)</w:t>
            </w:r>
            <w:r>
              <w:rPr>
                <w:rFonts w:ascii="Arial" w:cs="Arial" w:hAnsi="Arial"/>
                <w:color w:val="5B6E7C"/>
                <w:sz w:val="16"/>
                <w:szCs w:val="16"/>
                <w:rtl/>
              </w:rPr>
              <w:t xml:space="preserve"> – عبر رفع الكفاءة المعرفية للكادر</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Reduced Effort (تقليل المجهود)</w:t>
            </w:r>
            <w:r>
              <w:rPr>
                <w:rFonts w:ascii="Arial" w:cs="Arial" w:hAnsi="Arial"/>
                <w:color w:val="5B6E7C"/>
                <w:sz w:val="16"/>
                <w:szCs w:val="16"/>
                <w:rtl/>
              </w:rPr>
              <w:t xml:space="preserve"> – إلغاء إعادة المحاضرات والتنسيق المتكرر</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Add Improvement (Process / Time) (تحسين عملية – وقت)</w:t>
            </w:r>
            <w:r>
              <w:rPr>
                <w:rFonts w:ascii="Arial" w:cs="Arial" w:hAnsi="Arial"/>
                <w:color w:val="5B6E7C"/>
                <w:sz w:val="16"/>
                <w:szCs w:val="16"/>
                <w:rtl/>
              </w:rPr>
              <w:t xml:space="preserve"> – مسار تعلّم مرن عند الطلب</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Others (أخرى):</w:t>
            </w:r>
            <w:r>
              <w:rPr>
                <w:rFonts w:ascii="Arial" w:cs="Arial" w:hAnsi="Arial"/>
                <w:color w:val="5B6E7C"/>
                <w:sz w:val="16"/>
                <w:szCs w:val="16"/>
                <w:rtl/>
              </w:rPr>
              <w:t xml:space="preserve"> قياس منهجي لأثر التعلّم · قابلية التعميم</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b/>
                <w:bCs/>
                <w:color w:val="1F4E9E"/>
                <w:sz w:val="18"/>
                <w:szCs w:val="18"/>
                <w:rtl/>
              </w:rPr>
              <w:t xml:space="preserve">Add Comments / Illustration – تعليق أو شرح</w:t>
            </w:r>
          </w:p>
          <w:p>
            <w:pPr>
              <w:bidi/>
              <w:spacing w:after="40" w:before="0" w:line="260"/>
              <w:jc w:val="both"/>
            </w:pPr>
            <w:r>
              <w:rPr>
                <w:rFonts w:ascii="Arial" w:cs="Arial" w:hAnsi="Arial"/>
                <w:color w:val="1D2B36"/>
                <w:sz w:val="18"/>
                <w:szCs w:val="18"/>
                <w:rtl/>
              </w:rPr>
              <w:t xml:space="preserve">تجسّد المبادرة مفهوم </w:t>
            </w:r>
            <w:r>
              <w:rPr>
                <w:rFonts w:ascii="Arial" w:cs="Arial" w:hAnsi="Arial"/>
                <w:b/>
                <w:bCs/>
                <w:color w:val="1D2B36"/>
                <w:sz w:val="18"/>
                <w:szCs w:val="18"/>
                <w:rtl/>
              </w:rPr>
              <w:t xml:space="preserve">الرعاية الصحية القائمة على القيمة (Value-Based Health Care)</w:t>
            </w:r>
            <w:r>
              <w:rPr>
                <w:rFonts w:ascii="Arial" w:cs="Arial" w:hAnsi="Arial"/>
                <w:color w:val="1D2B36"/>
                <w:sz w:val="18"/>
                <w:szCs w:val="18"/>
                <w:rtl/>
              </w:rPr>
              <w:t xml:space="preserve">؛ إذ القيمة = النتائج المتحققة ÷ تكلفة تحقيقها (Porter, 2010). فقد ارتفعت النتائج (إنجاز 100% وتحسّن معرفي +12.21 ن.م) مع خفض الجهد التشغيلي المتكرر، لأن المحتوى المسجّل يُنتَج مرة واحدة ويُعاد استخدامه دون تفريغ الكادر من المناوبات.</w:t>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3906"/>
            </w:tblGrid>
            <w:tr>
              <w:trPr>
                <w:cantSplit/>
              </w:trPr>
              <w:tc>
                <w:tcPr>
                  <w:tcW w:type="dxa" w:w="21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بُعد الجودة (دليل المسابقة)</w:t>
                  </w:r>
                </w:p>
              </w:tc>
              <w:tc>
                <w:tcPr>
                  <w:tcW w:type="dxa" w:w="43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التحسن المتحقق</w:t>
                  </w:r>
                </w:p>
              </w:tc>
              <w:tc>
                <w:tcPr>
                  <w:tcW w:type="dxa" w:w="3906"/>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الدليل / المقياس</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الفاعلية (Effectiveness)</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تحقيق كامل للمستهدفات الأكاديمية ورفع المعرفة التمريضية مع الاحتفاظ بها.</w:t>
                  </w:r>
                </w:p>
              </w:tc>
              <w:tc>
                <w:tcPr>
                  <w:tcW w:type="dxa" w:w="390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100% إنجاز · +12.21 ن.م · احتفاظ 85.68%</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الكفاءة (Efficiency)</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إنتاج المحتوى مرة واحدة وإعادة استخدامه لكل الكادر والموظفين الجدد، وإلغاء الحاجة إلى إعادة المحاضرات والتنسيق المتكرر لمواعيد البث.</w:t>
                  </w:r>
                </w:p>
              </w:tc>
              <w:tc>
                <w:tcPr>
                  <w:tcW w:type="dxa" w:w="390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من بث متكرر بمواعيد ثابتة ← 5 محاضرات مسجلة دائمة لـ10 مراكز</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محورية المستفيد (Patient / Staff Centered)</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تعلّم في الوقت المناسب لكل ممرض/ممرضة دون تعارض مع المناوبات وتغطية العيادات، ودون انقطاع الخدمة للمرضى.</w:t>
                  </w:r>
                </w:p>
              </w:tc>
              <w:tc>
                <w:tcPr>
                  <w:tcW w:type="dxa" w:w="390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استخدام 81.8% (45/55) · وصول على مدار الساعة</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السلامة (Safety) – غير مباشر</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رفع الجاهزية المعرفية في مجالات ذات صلة بسلامة المرضى مثل العلاج الوريدي وتحليل الأسباب الجذرية.</w:t>
                  </w:r>
                </w:p>
              </w:tc>
              <w:tc>
                <w:tcPr>
                  <w:tcW w:type="dxa" w:w="390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نتائج الاختبارات حسب الموضوع (أثر سريري غير مُقاس مباشرة)</w:t>
                  </w:r>
                </w:p>
              </w:tc>
            </w:tr>
          </w:tbl>
          <w:p/>
        </w:tc>
      </w:tr>
      <w:tr>
        <w:trPr>
          <w:cantSplit/>
        </w:trPr>
        <w:tc>
          <w:tcPr>
            <w:tcW w:type="dxa" w:w="10306"/>
            <w:gridSpan w:val="2"/>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top"/>
          </w:tcPr>
          <w:p>
            <w:pPr>
              <w:bidi/>
              <w:spacing w:after="20" w:before="0" w:line="260"/>
            </w:pPr>
            <w:r>
              <w:rPr>
                <w:rFonts w:ascii="Arial" w:cs="Arial" w:hAnsi="Arial"/>
                <w:b/>
                <w:bCs/>
                <w:color w:val="0B3C5D"/>
                <w:sz w:val="16"/>
                <w:szCs w:val="16"/>
                <w:rtl/>
              </w:rPr>
              <w:t xml:space="preserve">الأسس العلمية والمرجعية</w:t>
            </w:r>
          </w:p>
          <w:p>
            <w:pPr>
              <w:spacing w:after="0" w:line="220"/>
              <w:jc w:val="left"/>
            </w:pPr>
            <w:r>
              <w:rPr>
                <w:rFonts w:ascii="Arial" w:cs="Arial" w:eastAsia="Arial" w:hAnsi="Arial"/>
                <w:color w:val="44556A"/>
                <w:sz w:val="14"/>
                <w:szCs w:val="14"/>
              </w:rPr>
              <w:t xml:space="preserve">1. Batalden PB, Stoltz PK. A framework for the continual improvement of health care. Jt Comm J Qual Improv. 1993;19(10):432-452.</w:t>
            </w:r>
          </w:p>
          <w:p>
            <w:pPr>
              <w:spacing w:after="0" w:line="220"/>
              <w:jc w:val="left"/>
            </w:pPr>
            <w:r>
              <w:rPr>
                <w:rFonts w:ascii="Arial" w:cs="Arial" w:eastAsia="Arial" w:hAnsi="Arial"/>
                <w:color w:val="44556A"/>
                <w:sz w:val="14"/>
                <w:szCs w:val="14"/>
              </w:rPr>
              <w:t xml:space="preserve">2. Langley GJ, Moen RD, Nolan KM, et al. The Improvement Guide. 2nd ed. San Francisco: Jossey-Bass; 2009.</w:t>
            </w:r>
          </w:p>
          <w:p>
            <w:pPr>
              <w:spacing w:after="0" w:line="220"/>
              <w:jc w:val="left"/>
            </w:pPr>
            <w:r>
              <w:rPr>
                <w:rFonts w:ascii="Arial" w:cs="Arial" w:eastAsia="Arial" w:hAnsi="Arial"/>
                <w:color w:val="44556A"/>
                <w:sz w:val="14"/>
                <w:szCs w:val="14"/>
              </w:rPr>
              <w:t xml:space="preserve">3. Institute of Medicine. Crossing the Quality Chasm: A New Health System for the 21st Century. Washington, DC: National Academies Press; 2001.</w:t>
            </w:r>
          </w:p>
          <w:p>
            <w:pPr>
              <w:spacing w:after="0" w:line="220"/>
              <w:jc w:val="left"/>
            </w:pPr>
            <w:r>
              <w:rPr>
                <w:rFonts w:ascii="Arial" w:cs="Arial" w:eastAsia="Arial" w:hAnsi="Arial"/>
                <w:color w:val="44556A"/>
                <w:sz w:val="14"/>
                <w:szCs w:val="14"/>
              </w:rPr>
              <w:t xml:space="preserve">4. Porter ME. What is value in health care? N Engl J Med. 2010;363(26):2477-2481.</w:t>
            </w:r>
          </w:p>
          <w:p>
            <w:pPr>
              <w:spacing w:after="0" w:line="220"/>
              <w:jc w:val="left"/>
            </w:pPr>
            <w:r>
              <w:rPr>
                <w:rFonts w:ascii="Arial" w:cs="Arial" w:eastAsia="Arial" w:hAnsi="Arial"/>
                <w:color w:val="44556A"/>
                <w:sz w:val="14"/>
                <w:szCs w:val="14"/>
              </w:rPr>
              <w:t xml:space="preserve">5. Kirkpatrick DL, Kirkpatrick JD. Evaluating Training Programs: The Four Levels. 3rd ed. San Francisco: Berrett-Koehler; 2006.</w:t>
            </w:r>
          </w:p>
          <w:p>
            <w:pPr>
              <w:spacing w:after="0" w:line="220"/>
              <w:jc w:val="left"/>
            </w:pPr>
            <w:r>
              <w:rPr>
                <w:rFonts w:ascii="Arial" w:cs="Arial" w:eastAsia="Arial" w:hAnsi="Arial"/>
                <w:color w:val="44556A"/>
                <w:sz w:val="14"/>
                <w:szCs w:val="14"/>
              </w:rPr>
              <w:t xml:space="preserve">6. Liu Q, Peng W, Zhang F, et al. The effectiveness of blended learning in health professions: systematic review and meta-analysis. J Med Internet Res. 2016;18(1):e2.</w:t>
            </w:r>
          </w:p>
          <w:p>
            <w:pPr>
              <w:spacing w:after="0" w:line="220"/>
              <w:jc w:val="left"/>
            </w:pPr>
            <w:r>
              <w:rPr>
                <w:rFonts w:ascii="Arial" w:cs="Arial" w:eastAsia="Arial" w:hAnsi="Arial"/>
                <w:color w:val="44556A"/>
                <w:sz w:val="14"/>
                <w:szCs w:val="14"/>
              </w:rPr>
              <w:t xml:space="preserve">7. Provost LP, Murray SK. The Health Care Data Guide: Learning from Data for Improvement. San Francisco: Jossey-Bass; 2011.</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5153"/>
      </w:tblGrid>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Lead Team Members</w:t>
            </w:r>
          </w:p>
          <w:p>
            <w:pPr>
              <w:bidi/>
              <w:spacing w:after="0" w:before="0" w:line="260"/>
              <w:jc w:val="center"/>
            </w:pPr>
            <w:r>
              <w:rPr>
                <w:rFonts w:ascii="Arial" w:cs="Arial" w:hAnsi="Arial"/>
                <w:b/>
                <w:bCs/>
                <w:color w:val="0B3C5D"/>
                <w:sz w:val="17"/>
                <w:szCs w:val="17"/>
                <w:rtl/>
              </w:rPr>
              <w:t xml:space="preserve">قائد الفريق</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Team Members</w:t>
            </w:r>
          </w:p>
          <w:p>
            <w:pPr>
              <w:bidi/>
              <w:spacing w:after="0" w:before="0" w:line="260"/>
              <w:jc w:val="center"/>
            </w:pPr>
            <w:r>
              <w:rPr>
                <w:rFonts w:ascii="Arial" w:cs="Arial" w:hAnsi="Arial"/>
                <w:b/>
                <w:bCs/>
                <w:color w:val="0B3C5D"/>
                <w:sz w:val="17"/>
                <w:szCs w:val="17"/>
                <w:rtl/>
              </w:rPr>
              <w:t xml:space="preserve">أعضاء الفريق</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b/>
                <w:bCs/>
                <w:color w:val="1D2B36"/>
                <w:sz w:val="18"/>
                <w:szCs w:val="18"/>
                <w:rtl/>
              </w:rPr>
              <w:t xml:space="preserve">مشرفة التدريب والتعليم التمريضي – قائدة المشروع</w:t>
            </w:r>
          </w:p>
          <w:p>
            <w:pPr>
              <w:bidi/>
              <w:spacing w:after="40" w:before="0" w:line="260"/>
            </w:pPr>
            <w:r>
              <w:rPr>
                <w:rFonts w:ascii="Arial" w:cs="Arial" w:hAnsi="Arial"/>
                <w:color w:val="1D2B36"/>
                <w:sz w:val="18"/>
                <w:szCs w:val="18"/>
                <w:rtl/>
              </w:rPr>
              <w:t xml:space="preserve">الاسم: ..................................................</w:t>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color w:val="1D2B36"/>
                <w:sz w:val="18"/>
                <w:szCs w:val="18"/>
                <w:rtl/>
              </w:rPr>
              <w:t xml:space="preserve">1. المطوّر التقني – برمجة المنصة الإلكترونية (دور داعم)</w:t>
            </w:r>
          </w:p>
          <w:p>
            <w:pPr>
              <w:bidi/>
              <w:spacing w:after="40" w:before="0" w:line="260"/>
            </w:pPr>
            <w:r>
              <w:rPr>
                <w:rFonts w:ascii="Arial" w:cs="Arial" w:hAnsi="Arial"/>
                <w:color w:val="1D2B36"/>
                <w:sz w:val="18"/>
                <w:szCs w:val="18"/>
                <w:rtl/>
              </w:rPr>
              <w:t xml:space="preserve">2. ..................................................</w:t>
            </w:r>
          </w:p>
        </w:tc>
      </w:tr>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Hospital Manager's Name</w:t>
            </w:r>
          </w:p>
          <w:p>
            <w:pPr>
              <w:bidi/>
              <w:spacing w:after="0" w:before="0" w:line="260"/>
              <w:jc w:val="center"/>
            </w:pPr>
            <w:r>
              <w:rPr>
                <w:rFonts w:ascii="Arial" w:cs="Arial" w:hAnsi="Arial"/>
                <w:b/>
                <w:bCs/>
                <w:color w:val="0B3C5D"/>
                <w:sz w:val="17"/>
                <w:szCs w:val="17"/>
                <w:rtl/>
              </w:rPr>
              <w:t xml:space="preserve">مدير المستشفى / الجهة</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Approval / Signature</w:t>
            </w:r>
          </w:p>
          <w:p>
            <w:pPr>
              <w:bidi/>
              <w:spacing w:after="0" w:before="0" w:line="260"/>
              <w:jc w:val="center"/>
            </w:pPr>
            <w:r>
              <w:rPr>
                <w:rFonts w:ascii="Arial" w:cs="Arial" w:hAnsi="Arial"/>
                <w:b/>
                <w:bCs/>
                <w:color w:val="0B3C5D"/>
                <w:sz w:val="17"/>
                <w:szCs w:val="17"/>
                <w:rtl/>
              </w:rPr>
              <w:t xml:space="preserve">الاعتماد / التوقيع</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160" w:before="160" w:line="260"/>
            </w:pPr>
            <w:r>
              <w:rPr>
                <w:rFonts w:ascii="Arial" w:cs="Arial" w:hAnsi="Arial"/>
                <w:color w:val="1D2B36"/>
                <w:sz w:val="18"/>
                <w:szCs w:val="18"/>
                <w:rtl/>
              </w:rPr>
              <w:t xml:space="preserve">..................................................</w:t>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160" w:before="160" w:line="260"/>
            </w:pPr>
            <w:r>
              <w:rPr>
                <w:rFonts w:ascii="Arial" w:cs="Arial" w:hAnsi="Arial"/>
                <w:color w:val="1D2B36"/>
                <w:sz w:val="18"/>
                <w:szCs w:val="18"/>
                <w:rtl/>
              </w:rPr>
              <w:t xml:space="preserve">..................................................</w:t>
            </w:r>
          </w:p>
        </w:tc>
      </w:tr>
    </w:tbl>
    <w:sectPr>
      <w:headerReference w:type="default" r:id="rId7"/>
      <w:pgSz w:w="11906" w:h="16838" w:orient="portrait"/>
      <w:pgMar w:top="2700" w:right="800" w:bottom="1250" w:left="800" w:header="300"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cf39c89cdf29eff1f78377f429d7e7620e303873.png"/><Relationship Id="rId9" Type="http://schemas.openxmlformats.org/officeDocument/2006/relationships/image" Target="media/adbcecec940ddd4698a5ea543b46136e6795c8ec.png"/><Relationship Id="rId10" Type="http://schemas.openxmlformats.org/officeDocument/2006/relationships/image" Target="media/e5744269a3381a3efc8012b70908a22a5546c0dd.png"/><Relationship Id="rId11" Type="http://schemas.openxmlformats.org/officeDocument/2006/relationships/image" Target="media/3d9f575233b6c189ba772a21cead63ac1427384b.png"/><Relationship Id="rId12" Type="http://schemas.openxmlformats.org/officeDocument/2006/relationships/image" Target="media/0c4138774e889c2ed91d523deba5c30a414c5aeb.png"/><Relationship Id="rId13" Type="http://schemas.openxmlformats.org/officeDocument/2006/relationships/image" Target="media/ef48e0c57b195e3d2f5dba88dea496641cf8ecaa.png"/><Relationship Id="rId14" Type="http://schemas.openxmlformats.org/officeDocument/2006/relationships/image" Target="media/f37b934d9f8de558e8b539bcc621940ddc1c074d.png"/><Relationship Id="rId15" Type="http://schemas.openxmlformats.org/officeDocument/2006/relationships/image" Target="media/70daa5cd9ac078e265ded2bb15d8bac9e0f9c30c.png"/><Relationship Id="rId16" Type="http://schemas.openxmlformats.org/officeDocument/2006/relationships/image" Target="media/6d4daeb38ffe37431229e4e04b735976216c882c.png"/><Relationship Id="rId17" Type="http://schemas.openxmlformats.org/officeDocument/2006/relationships/image" Target="media/13161d2e0a666806114735ebbde6ed05ce0992ab.png"/><Relationship Id="rId18" Type="http://schemas.openxmlformats.org/officeDocument/2006/relationships/image" Target="media/e6eb57def2db11e9d22c1d350268213f1764b2c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8c37f177f9a821a73f013242ba398f611c96ca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2026-10-25T20:11:32.925Z</dcterms:created>
  <dcterms:modified xsi:type="dcterms:W3CDTF">2026-10-25T20:11:32.926Z</dcterms:modified>
</cp:coreProperties>
</file>

<file path=docProps/custom.xml><?xml version="1.0" encoding="utf-8"?>
<Properties xmlns="http://schemas.openxmlformats.org/officeDocument/2006/custom-properties" xmlns:vt="http://schemas.openxmlformats.org/officeDocument/2006/docPropsVTypes"/>
</file>