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before="0" w:line="260"/>
        <w:jc w:val="center"/>
      </w:pPr>
      <w:r>
        <w:rPr>
          <w:rFonts w:ascii="Arial" w:cs="Arial" w:hAnsi="Arial"/>
          <w:b/>
          <w:bCs/>
          <w:color w:val="0B3C5D"/>
          <w:sz w:val="32"/>
          <w:szCs w:val="32"/>
          <w:rtl/>
        </w:rPr>
        <w:t xml:space="preserve">مسابقة التميز بجودة خدمات الرعاية الصحية</w:t>
      </w:r>
    </w:p>
    <w:p>
      <w:pPr>
        <w:bidi/>
        <w:spacing w:after="20" w:before="0" w:line="260"/>
        <w:jc w:val="center"/>
      </w:pPr>
      <w:r>
        <w:rPr>
          <w:rFonts w:ascii="Arial" w:cs="Arial" w:hAnsi="Arial"/>
          <w:b/>
          <w:bCs/>
          <w:color w:val="1D2B36"/>
          <w:sz w:val="20"/>
          <w:szCs w:val="20"/>
          <w:rtl/>
        </w:rPr>
        <w:t xml:space="preserve">Performance Improvement Project – 2026     </w:t>
      </w:r>
      <w:r>
        <w:rPr>
          <w:rFonts w:ascii="Arial" w:cs="Arial" w:hAnsi="Arial"/>
          <w:b/>
          <w:bCs/>
          <w:color w:val="1D2B36"/>
          <w:sz w:val="20"/>
          <w:szCs w:val="20"/>
          <w:rtl/>
        </w:rPr>
        <w:t xml:space="preserve">مشروعات تحسين الأداء 2026</w:t>
      </w:r>
    </w:p>
    <w:p>
      <w:pPr>
        <w:bidi/>
        <w:spacing w:after="20" w:before="0" w:line="260"/>
        <w:jc w:val="center"/>
      </w:pPr>
      <w:r>
        <w:rPr>
          <w:rFonts w:ascii="Arial" w:cs="Arial" w:hAnsi="Arial"/>
          <w:b/>
          <w:bCs/>
          <w:color w:val="1F4E9E"/>
          <w:sz w:val="18"/>
          <w:szCs w:val="18"/>
          <w:u w:val="single"/>
          <w:rtl/>
        </w:rPr>
        <w:t xml:space="preserve">(Only Completed Projects)   </w:t>
      </w:r>
      <w:r>
        <w:rPr>
          <w:rFonts w:ascii="Arial" w:cs="Arial" w:hAnsi="Arial"/>
          <w:b/>
          <w:bCs/>
          <w:color w:val="1F4E9E"/>
          <w:sz w:val="18"/>
          <w:szCs w:val="18"/>
          <w:u w:val="single"/>
          <w:rtl/>
        </w:rPr>
        <w:t xml:space="preserve">(فقط المشروعات المكتملة)</w:t>
      </w:r>
    </w:p>
    <w:p>
      <w:pPr>
        <w:bidi/>
        <w:spacing w:after="100" w:before="0" w:line="260"/>
        <w:jc w:val="center"/>
      </w:pPr>
      <w:r>
        <w:rPr>
          <w:rFonts w:ascii="Arial" w:cs="Arial" w:hAnsi="Arial"/>
          <w:b/>
          <w:bCs/>
          <w:color w:val="0E8A8A"/>
          <w:sz w:val="16"/>
          <w:szCs w:val="16"/>
          <w:rtl/>
        </w:rPr>
        <w:t xml:space="preserve">الأسبوع العالمي للجودة 2026: «الجودة .. محرك الأداء» – Quality .. Powering Performance</w:t>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76"/>
        <w:gridCol w:w="2576"/>
        <w:gridCol w:w="2576"/>
        <w:gridCol w:w="2576"/>
      </w:tblGrid>
      <w:tr>
        <w:trPr>
          <w:cantSplit/>
        </w:trPr>
        <w:tc>
          <w:tcPr>
            <w:tcW w:type="dxa" w:w="2576"/>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Hospital Name</w:t>
            </w:r>
          </w:p>
          <w:p>
            <w:pPr>
              <w:bidi/>
              <w:spacing w:after="0" w:before="0" w:line="260"/>
              <w:jc w:val="center"/>
            </w:pPr>
            <w:r>
              <w:rPr>
                <w:rFonts w:ascii="Arial" w:cs="Arial" w:hAnsi="Arial"/>
                <w:b/>
                <w:bCs/>
                <w:color w:val="0B3C5D"/>
                <w:sz w:val="17"/>
                <w:szCs w:val="17"/>
                <w:rtl/>
              </w:rPr>
              <w:t xml:space="preserve">اسم المستشفى / الجهة</w:t>
            </w:r>
          </w:p>
        </w:tc>
        <w:tc>
          <w:tcPr>
            <w:tcW w:type="dxa" w:w="2576"/>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Title</w:t>
            </w:r>
          </w:p>
          <w:p>
            <w:pPr>
              <w:bidi/>
              <w:spacing w:after="0" w:before="0" w:line="260"/>
              <w:jc w:val="center"/>
            </w:pPr>
            <w:r>
              <w:rPr>
                <w:rFonts w:ascii="Arial" w:cs="Arial" w:hAnsi="Arial"/>
                <w:b/>
                <w:bCs/>
                <w:color w:val="0B3C5D"/>
                <w:sz w:val="17"/>
                <w:szCs w:val="17"/>
                <w:rtl/>
              </w:rPr>
              <w:t xml:space="preserve">مسمى المشروع</w:t>
            </w:r>
          </w:p>
        </w:tc>
        <w:tc>
          <w:tcPr>
            <w:tcW w:type="dxa" w:w="2576"/>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Department Owner</w:t>
            </w:r>
          </w:p>
          <w:p>
            <w:pPr>
              <w:bidi/>
              <w:spacing w:after="0" w:before="0" w:line="260"/>
              <w:jc w:val="center"/>
            </w:pPr>
            <w:r>
              <w:rPr>
                <w:rFonts w:ascii="Arial" w:cs="Arial" w:hAnsi="Arial"/>
                <w:b/>
                <w:bCs/>
                <w:color w:val="0B3C5D"/>
                <w:sz w:val="17"/>
                <w:szCs w:val="17"/>
                <w:rtl/>
              </w:rPr>
              <w:t xml:space="preserve">(القسم المسؤول)</w:t>
            </w:r>
          </w:p>
        </w:tc>
        <w:tc>
          <w:tcPr>
            <w:tcW w:type="dxa" w:w="2576"/>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Department Contributed</w:t>
            </w:r>
          </w:p>
          <w:p>
            <w:pPr>
              <w:bidi/>
              <w:spacing w:after="0" w:before="0" w:line="260"/>
              <w:jc w:val="center"/>
            </w:pPr>
            <w:r>
              <w:rPr>
                <w:rFonts w:ascii="Arial" w:cs="Arial" w:hAnsi="Arial"/>
                <w:b/>
                <w:bCs/>
                <w:color w:val="0B3C5D"/>
                <w:sz w:val="17"/>
                <w:szCs w:val="17"/>
                <w:rtl/>
              </w:rPr>
              <w:t xml:space="preserve">(الأقسام المشاركة)</w:t>
            </w:r>
          </w:p>
        </w:tc>
      </w:tr>
      <w:tr>
        <w:trPr>
          <w:cantSplit/>
        </w:trPr>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pPr>
            <w:r>
              <w:rPr>
                <w:rFonts w:ascii="Arial" w:cs="Arial" w:hAnsi="Arial"/>
                <w:b/>
                <w:bCs/>
                <w:color w:val="1D2B36"/>
                <w:sz w:val="18"/>
                <w:szCs w:val="18"/>
                <w:rtl/>
              </w:rPr>
              <w:t xml:space="preserve">قطاع الصحة العامة بالبكيرية</w:t>
            </w:r>
          </w:p>
          <w:p>
            <w:pPr>
              <w:bidi/>
              <w:spacing w:after="40" w:before="0" w:line="260"/>
            </w:pPr>
            <w:r>
              <w:rPr>
                <w:rFonts w:ascii="Arial" w:cs="Arial" w:hAnsi="Arial"/>
                <w:color w:val="1D2B36"/>
                <w:sz w:val="18"/>
                <w:szCs w:val="18"/>
                <w:rtl/>
              </w:rPr>
              <w:t xml:space="preserve">تجمع القصيم الصحي</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pPr>
            <w:r>
              <w:rPr>
                <w:rFonts w:ascii="Arial" w:cs="Arial" w:hAnsi="Arial"/>
                <w:b/>
                <w:bCs/>
                <w:color w:val="0B3C5D"/>
                <w:sz w:val="18"/>
                <w:szCs w:val="18"/>
                <w:rtl/>
              </w:rPr>
              <w:t xml:space="preserve">تحسين جودة وكفاءة التدريب التمريضي من خلال التحول الرقمي والتعلّم المدمج بمراكز الرعاية الصحية الأولية</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pPr>
            <w:r>
              <w:rPr>
                <w:rFonts w:ascii="Arial" w:cs="Arial" w:hAnsi="Arial"/>
                <w:b/>
                <w:bCs/>
                <w:color w:val="1D2B36"/>
                <w:sz w:val="18"/>
                <w:szCs w:val="18"/>
                <w:rtl/>
              </w:rPr>
              <w:t xml:space="preserve">التدريب والتعليم التمريضي</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pPr>
            <w:r>
              <w:rPr>
                <w:rFonts w:ascii="Arial" w:cs="Arial" w:hAnsi="Arial"/>
                <w:color w:val="1D2B36"/>
                <w:sz w:val="18"/>
                <w:szCs w:val="18"/>
                <w:rtl/>
              </w:rPr>
              <w:t xml:space="preserve">• الدعم التقني: برمجة المنصة الإلكترونية</w:t>
            </w:r>
          </w:p>
          <w:p>
            <w:pPr>
              <w:bidi/>
              <w:spacing w:after="40" w:before="0" w:line="260"/>
            </w:pPr>
            <w:r>
              <w:rPr>
                <w:rFonts w:ascii="Arial" w:cs="Arial" w:hAnsi="Arial"/>
                <w:color w:val="1D2B36"/>
                <w:sz w:val="18"/>
                <w:szCs w:val="18"/>
                <w:rtl/>
              </w:rPr>
              <w:t xml:space="preserve">• المراكز الصحية العشرة: التطبيق والورش التطبيقية</w:t>
            </w:r>
          </w:p>
        </w:tc>
      </w:tr>
      <w:tr>
        <w:trPr>
          <w:cantSplit/>
        </w:trPr>
        <w:tc>
          <w:tcPr>
            <w:tcW w:type="dxa" w:w="257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Dimension(S)</w:t>
            </w:r>
          </w:p>
          <w:p>
            <w:pPr>
              <w:bidi/>
              <w:spacing w:after="0" w:before="0" w:line="260"/>
              <w:jc w:val="center"/>
            </w:pPr>
            <w:r>
              <w:rPr>
                <w:rFonts w:ascii="Arial" w:cs="Arial" w:hAnsi="Arial"/>
                <w:b/>
                <w:bCs/>
                <w:color w:val="0B3C5D"/>
                <w:sz w:val="17"/>
                <w:szCs w:val="17"/>
                <w:rtl/>
              </w:rPr>
              <w:t xml:space="preserve">(اختصاص المشروع)</w:t>
            </w:r>
          </w:p>
        </w:tc>
        <w:tc>
          <w:tcPr>
            <w:tcW w:type="dxa" w:w="257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Duration</w:t>
            </w:r>
          </w:p>
          <w:p>
            <w:pPr>
              <w:bidi/>
              <w:spacing w:after="0" w:before="0" w:line="260"/>
              <w:jc w:val="center"/>
            </w:pPr>
            <w:r>
              <w:rPr>
                <w:rFonts w:ascii="Arial" w:cs="Arial" w:hAnsi="Arial"/>
                <w:b/>
                <w:bCs/>
                <w:color w:val="0B3C5D"/>
                <w:sz w:val="17"/>
                <w:szCs w:val="17"/>
                <w:rtl/>
              </w:rPr>
              <w:t xml:space="preserve">(مدة المشروع)</w:t>
            </w:r>
          </w:p>
        </w:tc>
        <w:tc>
          <w:tcPr>
            <w:tcW w:type="dxa" w:w="257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Start Date</w:t>
            </w:r>
          </w:p>
          <w:p>
            <w:pPr>
              <w:bidi/>
              <w:spacing w:after="0" w:before="0" w:line="260"/>
              <w:jc w:val="center"/>
            </w:pPr>
            <w:r>
              <w:rPr>
                <w:rFonts w:ascii="Arial" w:cs="Arial" w:hAnsi="Arial"/>
                <w:b/>
                <w:bCs/>
                <w:color w:val="0B3C5D"/>
                <w:sz w:val="17"/>
                <w:szCs w:val="17"/>
                <w:rtl/>
              </w:rPr>
              <w:t xml:space="preserve">(تاريخ بداية المشروع)</w:t>
            </w:r>
          </w:p>
        </w:tc>
        <w:tc>
          <w:tcPr>
            <w:tcW w:type="dxa" w:w="257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End Date</w:t>
            </w:r>
          </w:p>
          <w:p>
            <w:pPr>
              <w:bidi/>
              <w:spacing w:after="0" w:before="0" w:line="260"/>
              <w:jc w:val="center"/>
            </w:pPr>
            <w:r>
              <w:rPr>
                <w:rFonts w:ascii="Arial" w:cs="Arial" w:hAnsi="Arial"/>
                <w:b/>
                <w:bCs/>
                <w:color w:val="0B3C5D"/>
                <w:sz w:val="17"/>
                <w:szCs w:val="17"/>
                <w:rtl/>
              </w:rPr>
              <w:t xml:space="preserve">(تاريخ نهاية المشروع)</w:t>
            </w:r>
          </w:p>
        </w:tc>
      </w:tr>
      <w:tr>
        <w:trPr>
          <w:cantSplit/>
        </w:trPr>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20" w:before="0" w:line="260"/>
            </w:pPr>
            <w:r>
              <w:rPr>
                <w:rFonts w:ascii="Arial" w:cs="Arial" w:hAnsi="Arial"/>
                <w:b/>
                <w:bCs/>
                <w:color w:val="7F8C8D"/>
                <w:sz w:val="18"/>
                <w:szCs w:val="18"/>
                <w:rtl/>
              </w:rPr>
              <w:t xml:space="preserve">☐ </w:t>
            </w:r>
            <w:r>
              <w:rPr>
                <w:rFonts w:ascii="Arial" w:cs="Arial" w:hAnsi="Arial"/>
                <w:b w:val="false"/>
                <w:color w:val="1D2B36"/>
                <w:sz w:val="18"/>
                <w:szCs w:val="18"/>
                <w:rtl/>
              </w:rPr>
              <w:t xml:space="preserve">Safety (السلامة)</w:t>
            </w:r>
            <w:r>
              <w:rPr>
                <w:rFonts w:ascii="Arial" w:cs="Arial" w:hAnsi="Arial"/>
                <w:color w:val="5B6E7C"/>
                <w:sz w:val="16"/>
                <w:szCs w:val="16"/>
                <w:rtl/>
              </w:rPr>
              <w:t xml:space="preserve"> – أثر غير مباشر</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Effectiveness (الفاعلية)</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Efficiency (الكفاءة)</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Beneficiary Centered</w:t>
            </w:r>
            <w:r>
              <w:rPr>
                <w:rFonts w:ascii="Arial" w:cs="Arial" w:hAnsi="Arial"/>
                <w:color w:val="5B6E7C"/>
                <w:sz w:val="16"/>
                <w:szCs w:val="16"/>
                <w:rtl/>
              </w:rPr>
              <w:t xml:space="preserve"> (محورية المستفيد: الكادر كمستفيد داخلي)</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jc w:val="center"/>
            </w:pPr>
            <w:r>
              <w:rPr>
                <w:rFonts w:ascii="Arial" w:cs="Arial" w:hAnsi="Arial"/>
                <w:b/>
                <w:bCs/>
                <w:color w:val="0B3C5D"/>
                <w:sz w:val="22"/>
                <w:szCs w:val="22"/>
                <w:rtl/>
              </w:rPr>
              <w:t xml:space="preserve">8 أشهر</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jc w:val="center"/>
            </w:pPr>
            <w:r>
              <w:rPr>
                <w:rFonts w:ascii="Arial" w:cs="Arial" w:hAnsi="Arial"/>
                <w:b/>
                <w:bCs/>
                <w:color w:val="0B3C5D"/>
                <w:sz w:val="22"/>
                <w:szCs w:val="22"/>
                <w:rtl/>
              </w:rPr>
              <w:t xml:space="preserve">مارس 2026</w:t>
            </w:r>
          </w:p>
        </w:tc>
        <w:tc>
          <w:tcPr>
            <w:tcW w:type="dxa" w:w="257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40" w:before="0" w:line="260"/>
              <w:jc w:val="center"/>
            </w:pPr>
            <w:r>
              <w:rPr>
                <w:rFonts w:ascii="Arial" w:cs="Arial" w:hAnsi="Arial"/>
                <w:b/>
                <w:bCs/>
                <w:color w:val="0B3C5D"/>
                <w:sz w:val="22"/>
                <w:szCs w:val="22"/>
                <w:rtl/>
              </w:rPr>
              <w:t xml:space="preserve">أكتوبر 2026</w:t>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5153"/>
      </w:tblGrid>
      <w:tr>
        <w:trPr>
          <w:cantSplit/>
        </w:trPr>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Problem Statement</w:t>
            </w:r>
          </w:p>
          <w:p>
            <w:pPr>
              <w:bidi/>
              <w:spacing w:after="0" w:before="0" w:line="260"/>
              <w:jc w:val="center"/>
            </w:pPr>
            <w:r>
              <w:rPr>
                <w:rFonts w:ascii="Arial" w:cs="Arial" w:hAnsi="Arial"/>
                <w:b/>
                <w:bCs/>
                <w:color w:val="0B3C5D"/>
                <w:sz w:val="17"/>
                <w:szCs w:val="17"/>
                <w:rtl/>
              </w:rPr>
              <w:t xml:space="preserve">(صياغة المشكلة)</w:t>
            </w:r>
          </w:p>
        </w:tc>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Aim Statement: (SMART)</w:t>
            </w:r>
          </w:p>
          <w:p>
            <w:pPr>
              <w:bidi/>
              <w:spacing w:after="0" w:before="0" w:line="260"/>
              <w:jc w:val="center"/>
            </w:pPr>
            <w:r>
              <w:rPr>
                <w:rFonts w:ascii="Arial" w:cs="Arial" w:hAnsi="Arial"/>
                <w:b/>
                <w:bCs/>
                <w:color w:val="0B3C5D"/>
                <w:sz w:val="17"/>
                <w:szCs w:val="17"/>
                <w:rtl/>
              </w:rPr>
              <w:t xml:space="preserve">(صياغة الهدف الذكي)</w:t>
            </w:r>
          </w:p>
        </w:tc>
      </w:tr>
      <w:tr>
        <w:trPr>
          <w:cantSplit/>
        </w:trPr>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jc w:val="both"/>
            </w:pPr>
            <w:r>
              <w:rPr>
                <w:rFonts w:ascii="Arial" w:cs="Arial" w:hAnsi="Arial"/>
                <w:color w:val="1D2B36"/>
                <w:sz w:val="18"/>
                <w:szCs w:val="18"/>
                <w:rtl/>
              </w:rPr>
              <w:t xml:space="preserve">خلال عامي 2024–2025 لم تتحقق مستهدفات الخطة التدريبية التمريضية بالكامل في </w:t>
            </w:r>
            <w:r>
              <w:rPr>
                <w:rFonts w:ascii="Arial" w:cs="Arial" w:hAnsi="Arial"/>
                <w:b/>
                <w:bCs/>
                <w:color w:val="1D2B36"/>
                <w:sz w:val="18"/>
                <w:szCs w:val="18"/>
                <w:rtl/>
              </w:rPr>
              <w:t xml:space="preserve">10 مراكز للرعاية الصحية الأولية</w:t>
            </w:r>
            <w:r>
              <w:rPr>
                <w:rFonts w:ascii="Arial" w:cs="Arial" w:hAnsi="Arial"/>
                <w:color w:val="1D2B36"/>
                <w:sz w:val="18"/>
                <w:szCs w:val="18"/>
                <w:rtl/>
              </w:rPr>
              <w:t xml:space="preserve">؛ إذ بلغ المتوسط المرجح لإنجاز المؤشرات الأكاديمية المعتمدة </w:t>
            </w:r>
            <w:r>
              <w:rPr>
                <w:rFonts w:ascii="Arial" w:cs="Arial" w:hAnsi="Arial"/>
                <w:b/>
                <w:bCs/>
                <w:color w:val="1D2B36"/>
                <w:sz w:val="18"/>
                <w:szCs w:val="18"/>
                <w:rtl/>
              </w:rPr>
              <w:t xml:space="preserve">69.60%</w:t>
            </w:r>
            <w:r>
              <w:rPr>
                <w:rFonts w:ascii="Arial" w:cs="Arial" w:hAnsi="Arial"/>
                <w:color w:val="1D2B36"/>
                <w:sz w:val="18"/>
                <w:szCs w:val="18"/>
                <w:rtl/>
              </w:rPr>
              <w:t xml:space="preserve"> مقابل مستهدف </w:t>
            </w:r>
            <w:r>
              <w:rPr>
                <w:rFonts w:ascii="Arial" w:cs="Arial" w:hAnsi="Arial"/>
                <w:b/>
                <w:bCs/>
                <w:color w:val="1D2B36"/>
                <w:sz w:val="18"/>
                <w:szCs w:val="18"/>
                <w:rtl/>
              </w:rPr>
              <w:t xml:space="preserve">100%</w:t>
            </w:r>
            <w:r>
              <w:rPr>
                <w:rFonts w:ascii="Arial" w:cs="Arial" w:hAnsi="Arial"/>
                <w:color w:val="1D2B36"/>
                <w:sz w:val="18"/>
                <w:szCs w:val="18"/>
                <w:rtl/>
              </w:rPr>
              <w:t xml:space="preserve"> (فجوة </w:t>
            </w:r>
            <w:r>
              <w:rPr>
                <w:rFonts w:ascii="Arial" w:cs="Arial" w:hAnsi="Arial"/>
                <w:b/>
                <w:bCs/>
                <w:color w:val="1D2B36"/>
                <w:sz w:val="18"/>
                <w:szCs w:val="18"/>
                <w:rtl/>
              </w:rPr>
              <w:t xml:space="preserve">30.40 نقطة مئوية</w:t>
            </w:r>
            <w:r>
              <w:rPr>
                <w:rFonts w:ascii="Arial" w:cs="Arial" w:hAnsi="Arial"/>
                <w:color w:val="1D2B36"/>
                <w:sz w:val="18"/>
                <w:szCs w:val="18"/>
                <w:rtl/>
              </w:rPr>
              <w:t xml:space="preserve">)، مع تدنٍّ حاد في بعض المجالات (تقييم التمريض 9.5% في 2024).</w:t>
            </w:r>
          </w:p>
          <w:p>
            <w:pPr>
              <w:bidi/>
              <w:spacing w:after="40" w:before="0" w:line="260"/>
              <w:jc w:val="both"/>
            </w:pPr>
            <w:r>
              <w:rPr>
                <w:rFonts w:ascii="Arial" w:cs="Arial" w:hAnsi="Arial"/>
                <w:color w:val="1D2B36"/>
                <w:sz w:val="18"/>
                <w:szCs w:val="18"/>
                <w:rtl/>
              </w:rPr>
              <w:t xml:space="preserve">ارتبطت الفجوة بآلية تقديم تعتمد على محاضرات Zoom متزامنة بمواعيد ثابتة لا تتوافق مع المناوبات وتغطية العيادات، ما استلزم </w:t>
            </w:r>
            <w:r>
              <w:rPr>
                <w:rFonts w:ascii="Arial" w:cs="Arial" w:hAnsi="Arial"/>
                <w:b/>
                <w:bCs/>
                <w:color w:val="1D2B36"/>
                <w:sz w:val="18"/>
                <w:szCs w:val="18"/>
                <w:rtl/>
              </w:rPr>
              <w:t xml:space="preserve">جدولة 106 جلسات مباشرة لـ53 موضوعًا في خطة 2025 (كُرِّر 92% منها مرتين أو أكثر)</w:t>
            </w:r>
            <w:r>
              <w:rPr>
                <w:rFonts w:ascii="Arial" w:cs="Arial" w:hAnsi="Arial"/>
                <w:color w:val="1D2B36"/>
                <w:sz w:val="18"/>
                <w:szCs w:val="18"/>
                <w:rtl/>
              </w:rPr>
              <w:t xml:space="preserve">، وترحيل 51 موضوعًا من خطة 2024 شكّلت 83% من مستهدف حضور 2025، مع جهد تنسيقي متكرر و</w:t>
            </w:r>
            <w:r>
              <w:rPr>
                <w:rFonts w:ascii="Arial" w:cs="Arial" w:hAnsi="Arial"/>
                <w:b/>
                <w:bCs/>
                <w:color w:val="1D2B36"/>
                <w:sz w:val="18"/>
                <w:szCs w:val="18"/>
                <w:rtl/>
              </w:rPr>
              <w:t xml:space="preserve">غياب آلية منهجية لقياس أثر التعلّم</w:t>
            </w:r>
            <w:r>
              <w:rPr>
                <w:rFonts w:ascii="Arial" w:cs="Arial" w:hAnsi="Arial"/>
                <w:color w:val="1D2B36"/>
                <w:sz w:val="18"/>
                <w:szCs w:val="18"/>
                <w:rtl/>
              </w:rPr>
              <w:t xml:space="preserve">؛ وهو ما ينعكس على جاهزية الكادر التمريضي وجودة الرعاية المقدمة للمستفيدين.</w:t>
            </w:r>
          </w:p>
          <w:p>
            <w:pPr>
              <w:spacing w:after="0"/>
              <w:jc w:val="center"/>
            </w:pP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790700"/>
                          </a:xfrm>
                          <a:prstGeom prst="rect">
                            <a:avLst/>
                          </a:prstGeom>
                        </pic:spPr>
                      </pic:pic>
                    </a:graphicData>
                  </a:graphic>
                </wp:inline>
              </w:drawing>
            </w:r>
          </w:p>
        </w:tc>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jc w:val="both"/>
            </w:pPr>
            <w:r>
              <w:rPr>
                <w:rFonts w:ascii="Arial" w:cs="Arial" w:hAnsi="Arial"/>
                <w:color w:val="1D2B36"/>
                <w:sz w:val="18"/>
                <w:szCs w:val="18"/>
                <w:rtl/>
              </w:rPr>
              <w:t xml:space="preserve">رفع نسبة إنجاز المستهدفات الأكاديمية للتدريب التمريضي في 10 مراكز رعاية صحية أولية </w:t>
            </w:r>
            <w:r>
              <w:rPr>
                <w:rFonts w:ascii="Arial" w:cs="Arial" w:hAnsi="Arial"/>
                <w:b/>
                <w:bCs/>
                <w:color w:val="1D2B36"/>
                <w:sz w:val="18"/>
                <w:szCs w:val="18"/>
                <w:rtl/>
              </w:rPr>
              <w:t xml:space="preserve">من 69.60% إلى 100%</w:t>
            </w:r>
            <w:r>
              <w:rPr>
                <w:rFonts w:ascii="Arial" w:cs="Arial" w:hAnsi="Arial"/>
                <w:color w:val="1D2B36"/>
                <w:sz w:val="18"/>
                <w:szCs w:val="18"/>
                <w:rtl/>
              </w:rPr>
              <w:t xml:space="preserve"> خلال الفترة </w:t>
            </w:r>
            <w:r>
              <w:rPr>
                <w:rFonts w:ascii="Arial" w:cs="Arial" w:hAnsi="Arial"/>
                <w:b/>
                <w:bCs/>
                <w:color w:val="1D2B36"/>
                <w:sz w:val="18"/>
                <w:szCs w:val="18"/>
                <w:rtl/>
              </w:rPr>
              <w:t xml:space="preserve">مارس – أكتوبر 2026</w:t>
            </w:r>
            <w:r>
              <w:rPr>
                <w:rFonts w:ascii="Arial" w:cs="Arial" w:hAnsi="Arial"/>
                <w:color w:val="1D2B36"/>
                <w:sz w:val="18"/>
                <w:szCs w:val="18"/>
                <w:rtl/>
              </w:rPr>
              <w:t xml:space="preserve">، عبر منصة تعلّم مدمج موحدة تتيح 5 محاضرات مسجلة تغطي 12 موضوعًا للفئة المستهدفة (55 ممرضًا وممرضة)، مع تحقيق:</w:t>
            </w:r>
          </w:p>
          <w:p>
            <w:pPr>
              <w:bidi/>
              <w:spacing w:after="40" w:before="0" w:line="260"/>
            </w:pPr>
            <w:r>
              <w:rPr>
                <w:rFonts w:ascii="Arial" w:cs="Arial" w:hAnsi="Arial"/>
                <w:b/>
                <w:bCs/>
                <w:color w:val="1D2B36"/>
                <w:sz w:val="18"/>
                <w:szCs w:val="18"/>
                <w:rtl/>
              </w:rPr>
              <w:t xml:space="preserve">• نسبة استخدام للمنصة ≥ 80% </w:t>
            </w:r>
            <w:r>
              <w:rPr>
                <w:rFonts w:ascii="Arial" w:cs="Arial" w:hAnsi="Arial"/>
                <w:color w:val="1D2B36"/>
                <w:sz w:val="18"/>
                <w:szCs w:val="18"/>
                <w:rtl/>
              </w:rPr>
              <w:t xml:space="preserve">من المستهدفين.</w:t>
            </w:r>
          </w:p>
          <w:p>
            <w:pPr>
              <w:bidi/>
              <w:spacing w:after="40" w:before="0" w:line="260"/>
            </w:pPr>
            <w:r>
              <w:rPr>
                <w:rFonts w:ascii="Arial" w:cs="Arial" w:hAnsi="Arial"/>
                <w:b/>
                <w:bCs/>
                <w:color w:val="1D2B36"/>
                <w:sz w:val="18"/>
                <w:szCs w:val="18"/>
                <w:rtl/>
              </w:rPr>
              <w:t xml:space="preserve">• تحسّن ≥ 10 نقاط مئوية </w:t>
            </w:r>
            <w:r>
              <w:rPr>
                <w:rFonts w:ascii="Arial" w:cs="Arial" w:hAnsi="Arial"/>
                <w:color w:val="1D2B36"/>
                <w:sz w:val="18"/>
                <w:szCs w:val="18"/>
                <w:rtl/>
              </w:rPr>
              <w:t xml:space="preserve">بين متوسطي الاختبار القبلي والبعدي.</w:t>
            </w:r>
          </w:p>
          <w:p>
            <w:pPr>
              <w:bidi/>
              <w:spacing w:after="40" w:before="0" w:line="260"/>
            </w:pPr>
            <w:r>
              <w:rPr>
                <w:rFonts w:ascii="Arial" w:cs="Arial" w:hAnsi="Arial"/>
                <w:b/>
                <w:bCs/>
                <w:color w:val="1D2B36"/>
                <w:sz w:val="18"/>
                <w:szCs w:val="18"/>
                <w:rtl/>
              </w:rPr>
              <w:t xml:space="preserve">• متوسط ≥ 80% </w:t>
            </w:r>
            <w:r>
              <w:rPr>
                <w:rFonts w:ascii="Arial" w:cs="Arial" w:hAnsi="Arial"/>
                <w:color w:val="1D2B36"/>
                <w:sz w:val="18"/>
                <w:szCs w:val="18"/>
                <w:rtl/>
              </w:rPr>
              <w:t xml:space="preserve">في اختبار الاحتفاظ اللاحق بالمعلومات.</w:t>
            </w:r>
          </w:p>
          <w:p>
            <w:pPr>
              <w:bidi/>
              <w:spacing w:after="60" w:before="0" w:line="260"/>
            </w:pPr>
            <w:r>
              <w:rPr>
                <w:rFonts w:ascii="Arial" w:cs="Arial" w:hAnsi="Arial"/>
                <w:color w:val="1D2B36"/>
                <w:sz w:val="18"/>
                <w:szCs w:val="18"/>
                <w:rtl/>
              </w:rPr>
              <w:t xml:space="preserve">مع تعزيز التطبيق العملي عبر ورش داخل المراكز الصحية.</w:t>
            </w:r>
          </w:p>
          <w:p>
            <w:pPr>
              <w:spacing w:after="0"/>
              <w:jc w:val="center"/>
            </w:pP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790700"/>
                          </a:xfrm>
                          <a:prstGeom prst="rect">
                            <a:avLst/>
                          </a:prstGeom>
                        </pic:spPr>
                      </pic:pic>
                    </a:graphicData>
                  </a:graphic>
                </wp:inline>
              </w:drawing>
            </w:r>
          </w:p>
        </w:tc>
      </w:tr>
    </w:tbl>
    <w:p>
      <w:pPr>
        <w:bidi/>
        <w:spacing w:after="60" w:before="0" w:line="260"/>
      </w:pPr>
      <w:r>
        <w:rPr>
          <w:rFonts w:ascii="Arial" w:cs="Arial" w:hAnsi="Arial"/>
          <w:color w:val="1D2B36"/>
          <w:sz w:val="18"/>
          <w:szCs w:val="18"/>
          <w:rtl/>
        </w:rPr>
        <w:t xml:space="preserve"/>
      </w:r>
    </w:p>
    <w:p>
      <w:pPr>
        <w:pageBreakBefore/>
      </w:pP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06"/>
        <w:gridCol w:w="4400"/>
      </w:tblGrid>
      <w:tr>
        <w:trPr>
          <w:cantSplit/>
        </w:trPr>
        <w:tc>
          <w:tcPr>
            <w:tcW w:type="dxa" w:w="10306"/>
            <w:gridSpan w:val="2"/>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20"/>
                <w:szCs w:val="20"/>
                <w:rtl/>
              </w:rPr>
              <w:t xml:space="preserve">Project Steps (FOCUS – PDCA)  </w:t>
            </w:r>
            <w:r>
              <w:rPr>
                <w:rFonts w:ascii="Arial" w:cs="Arial" w:hAnsi="Arial"/>
                <w:b/>
                <w:bCs/>
                <w:color w:val="FFFFFF"/>
                <w:sz w:val="20"/>
                <w:szCs w:val="20"/>
                <w:rtl/>
              </w:rPr>
              <w:t xml:space="preserve">خطوات المشروع تبعًا لمنهجية</w:t>
            </w:r>
          </w:p>
        </w:tc>
      </w:tr>
      <w:tr>
        <w:trPr>
          <w:cantSplit/>
          <w:tblHeader/>
        </w:trPr>
        <w:tc>
          <w:tcPr>
            <w:tcW w:type="dxa" w:w="590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FOCUS Steps / Description / Tools</w:t>
            </w:r>
          </w:p>
          <w:p>
            <w:pPr>
              <w:bidi/>
              <w:spacing w:after="0" w:before="0" w:line="260"/>
              <w:jc w:val="center"/>
            </w:pPr>
            <w:r>
              <w:rPr>
                <w:rFonts w:ascii="Arial" w:cs="Arial" w:hAnsi="Arial"/>
                <w:b/>
                <w:bCs/>
                <w:color w:val="0B3C5D"/>
                <w:sz w:val="17"/>
                <w:szCs w:val="17"/>
                <w:rtl/>
              </w:rPr>
              <w:t xml:space="preserve">الخطوات / الشرح / الأدوات</w:t>
            </w:r>
          </w:p>
        </w:tc>
        <w:tc>
          <w:tcPr>
            <w:tcW w:type="dxa" w:w="4400"/>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Insert relevant graphs, data, charts</w:t>
            </w:r>
          </w:p>
          <w:p>
            <w:pPr>
              <w:bidi/>
              <w:spacing w:after="0" w:before="0" w:line="260"/>
              <w:jc w:val="center"/>
            </w:pPr>
            <w:r>
              <w:rPr>
                <w:rFonts w:ascii="Arial" w:cs="Arial" w:hAnsi="Arial"/>
                <w:b/>
                <w:bCs/>
                <w:color w:val="0B3C5D"/>
                <w:sz w:val="17"/>
                <w:szCs w:val="17"/>
                <w:rtl/>
              </w:rPr>
              <w:t xml:space="preserve">الرسوم البيانية والبيانات والمخططات ذات الصلة</w:t>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F: Find – </w:t>
            </w:r>
            <w:r>
              <w:rPr>
                <w:rFonts w:ascii="Arial" w:cs="Arial" w:hAnsi="Arial"/>
                <w:b/>
                <w:bCs/>
                <w:color w:val="0B3C5D"/>
                <w:sz w:val="20"/>
                <w:szCs w:val="20"/>
                <w:rtl/>
              </w:rPr>
              <w:t xml:space="preserve">إيجاد المشكلة</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مراجعة المؤشرات الأكاديمية المعتمدة لعامي 2024 و2025 لخمسة مجالات تدريبية في 10 مراكز، ومقارنة المتحقق بالمستهدف. بلغ المتوسط المرجح للإنجاز </w:t>
            </w:r>
            <w:r>
              <w:rPr>
                <w:rFonts w:ascii="Arial" w:cs="Arial" w:hAnsi="Arial"/>
                <w:b/>
                <w:bCs/>
                <w:color w:val="1D2B36"/>
                <w:sz w:val="18"/>
                <w:szCs w:val="18"/>
                <w:rtl/>
              </w:rPr>
              <w:t xml:space="preserve">69.60%</w:t>
            </w:r>
            <w:r>
              <w:rPr>
                <w:rFonts w:ascii="Arial" w:cs="Arial" w:hAnsi="Arial"/>
                <w:color w:val="1D2B36"/>
                <w:sz w:val="18"/>
                <w:szCs w:val="18"/>
                <w:rtl/>
              </w:rPr>
              <w:t xml:space="preserve">، وتراوح إنجاز 2024 بين 9.5% و72.7%. وعلى مستوى التجمع جاء قطاع البكيرية في المرتبة 11 من 15 قطاعًا في 2024 بنسبة حضور 83.8% مقابل 99.9% لأعلى قطاع. ورغم التحسن الجزئي في 2025 بتكثيف محاضرات Zoom وإعادة بعضها، استمر الاعتماد على مواعيد ثابتة. حُدِّد نطاق التحسين بعملية </w:t>
            </w:r>
            <w:r>
              <w:rPr>
                <w:rFonts w:ascii="Arial" w:cs="Arial" w:hAnsi="Arial"/>
                <w:b/>
                <w:bCs/>
                <w:color w:val="1D2B36"/>
                <w:sz w:val="18"/>
                <w:szCs w:val="18"/>
                <w:rtl/>
              </w:rPr>
              <w:t xml:space="preserve">«تقديم التدريب النظري وقياس أثره»</w:t>
            </w:r>
            <w:r>
              <w:rPr>
                <w:rFonts w:ascii="Arial" w:cs="Arial" w:hAnsi="Arial"/>
                <w:color w:val="1D2B36"/>
                <w:sz w:val="18"/>
                <w:szCs w:val="18"/>
                <w:rtl/>
              </w:rPr>
              <w:t xml:space="preserve"> دون تغيير الموضوعات الأكاديمية المعتمدة.</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تحليل فجوات الأداء (Gap Analysis) + المقارنة المرجعية (Benchmarking)</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O: Organize Team – </w:t>
            </w:r>
            <w:r>
              <w:rPr>
                <w:rFonts w:ascii="Arial" w:cs="Arial" w:hAnsi="Arial"/>
                <w:b/>
                <w:bCs/>
                <w:color w:val="0B3C5D"/>
                <w:sz w:val="20"/>
                <w:szCs w:val="20"/>
                <w:rtl/>
              </w:rPr>
              <w:t xml:space="preserve">تشكيل الفريق</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مبادرة بقيادة </w:t>
            </w:r>
            <w:r>
              <w:rPr>
                <w:rFonts w:ascii="Arial" w:cs="Arial" w:hAnsi="Arial"/>
                <w:b/>
                <w:bCs/>
                <w:color w:val="1D2B36"/>
                <w:sz w:val="18"/>
                <w:szCs w:val="18"/>
                <w:rtl/>
              </w:rPr>
              <w:t xml:space="preserve">مشرفة التدريب والتعليم التمريضي</w:t>
            </w:r>
            <w:r>
              <w:rPr>
                <w:rFonts w:ascii="Arial" w:cs="Arial" w:hAnsi="Arial"/>
                <w:color w:val="1D2B36"/>
                <w:sz w:val="18"/>
                <w:szCs w:val="18"/>
                <w:rtl/>
              </w:rPr>
              <w:t xml:space="preserve"> (المساءلة والتنفيذ: تحليل البيانات، تصميم التدخل، إعداد المحتوى والاختبارات، التنسيق مع المراكز، قياس النتائج)، بدعم </w:t>
            </w:r>
            <w:r>
              <w:rPr>
                <w:rFonts w:ascii="Arial" w:cs="Arial" w:hAnsi="Arial"/>
                <w:b/>
                <w:bCs/>
                <w:color w:val="1D2B36"/>
                <w:sz w:val="18"/>
                <w:szCs w:val="18"/>
                <w:rtl/>
              </w:rPr>
              <w:t xml:space="preserve">مطوّر تقني</w:t>
            </w:r>
            <w:r>
              <w:rPr>
                <w:rFonts w:ascii="Arial" w:cs="Arial" w:hAnsi="Arial"/>
                <w:color w:val="1D2B36"/>
                <w:sz w:val="18"/>
                <w:szCs w:val="18"/>
                <w:rtl/>
              </w:rPr>
              <w:t xml:space="preserve"> لبرمجة المنصة وفق المتطلبات المحددة، وبالتنسيق مع </w:t>
            </w:r>
            <w:r>
              <w:rPr>
                <w:rFonts w:ascii="Arial" w:cs="Arial" w:hAnsi="Arial"/>
                <w:b/>
                <w:bCs/>
                <w:color w:val="1D2B36"/>
                <w:sz w:val="18"/>
                <w:szCs w:val="18"/>
                <w:rtl/>
              </w:rPr>
              <w:t xml:space="preserve">المراكز الصحية العشرة</w:t>
            </w:r>
            <w:r>
              <w:rPr>
                <w:rFonts w:ascii="Arial" w:cs="Arial" w:hAnsi="Arial"/>
                <w:color w:val="1D2B36"/>
                <w:sz w:val="18"/>
                <w:szCs w:val="18"/>
                <w:rtl/>
              </w:rPr>
              <w:t xml:space="preserve"> لتسهيل التطبيق والورش. وُثِّقت الأدوار في مصفوفة RACI لضمان وضوح المساءلة ومنع ازدواج المهام.</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مصفوفة المسؤوليات (RACI Matrix)</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C: Clarity – </w:t>
            </w:r>
            <w:r>
              <w:rPr>
                <w:rFonts w:ascii="Arial" w:cs="Arial" w:hAnsi="Arial"/>
                <w:b/>
                <w:bCs/>
                <w:color w:val="0B3C5D"/>
                <w:sz w:val="20"/>
                <w:szCs w:val="20"/>
                <w:rtl/>
              </w:rPr>
              <w:t xml:space="preserve">توضيح العملية المتعلقة بالمشكلة</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رُسمت العملية الحالية (As-Is) في 5 خطوات وحُدِّدت </w:t>
            </w:r>
            <w:r>
              <w:rPr>
                <w:rFonts w:ascii="Arial" w:cs="Arial" w:hAnsi="Arial"/>
                <w:b/>
                <w:bCs/>
                <w:color w:val="1D2B36"/>
                <w:sz w:val="18"/>
                <w:szCs w:val="18"/>
                <w:rtl/>
              </w:rPr>
              <w:t xml:space="preserve">4 نقاط اختناق/هدر</w:t>
            </w:r>
            <w:r>
              <w:rPr>
                <w:rFonts w:ascii="Arial" w:cs="Arial" w:hAnsi="Arial"/>
                <w:color w:val="1D2B36"/>
                <w:sz w:val="18"/>
                <w:szCs w:val="18"/>
                <w:rtl/>
              </w:rPr>
              <w:t xml:space="preserve">: الموعد الثابت للبث، والتنسيق المتكرر مع 10 مراكز، وتعارض الحضور مع المناوبات، وإعادة المحاضرة لمن تغيّب، مع غياب نقطة لقياس أثر التعلّم. ثم صُمِّمت العملية المستهدفة (To-Be) مسارَ تعلّمٍ مدمج عند الطلب: </w:t>
            </w:r>
            <w:r>
              <w:rPr>
                <w:rFonts w:ascii="Arial" w:cs="Arial" w:hAnsi="Arial"/>
                <w:b/>
                <w:bCs/>
                <w:color w:val="1D2B36"/>
                <w:sz w:val="18"/>
                <w:szCs w:val="18"/>
                <w:rtl/>
              </w:rPr>
              <w:t xml:space="preserve">دخول المنصة ← اختبار قبلي ← محتوى مسجّل ← اختبار بعدي ← اختبار احتفاظ وورشة تطبيقية.</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مخطط سير العملية قبل/بعد (Process Flowchart: As-Is / To-Be)</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gridSpan w:val="2"/>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U: Understand – </w:t>
            </w:r>
            <w:r>
              <w:rPr>
                <w:rFonts w:ascii="Arial" w:cs="Arial" w:hAnsi="Arial"/>
                <w:b/>
                <w:bCs/>
                <w:color w:val="0B3C5D"/>
                <w:sz w:val="20"/>
                <w:szCs w:val="20"/>
                <w:rtl/>
              </w:rPr>
              <w:t xml:space="preserve">تحديد الأسباب الجذرية للمشكلة</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صُنِّفت الأسباب المحتملة في </w:t>
            </w:r>
            <w:r>
              <w:rPr>
                <w:rFonts w:ascii="Arial" w:cs="Arial" w:hAnsi="Arial"/>
                <w:b/>
                <w:bCs/>
                <w:color w:val="1D2B36"/>
                <w:sz w:val="18"/>
                <w:szCs w:val="18"/>
                <w:rtl/>
              </w:rPr>
              <w:t xml:space="preserve">6 محاور</w:t>
            </w:r>
            <w:r>
              <w:rPr>
                <w:rFonts w:ascii="Arial" w:cs="Arial" w:hAnsi="Arial"/>
                <w:color w:val="1D2B36"/>
                <w:sz w:val="18"/>
                <w:szCs w:val="18"/>
                <w:rtl/>
              </w:rPr>
              <w:t xml:space="preserve"> (طريقة التقديم، الكوادر والمناوبات، التوزيع الجغرافي، الوصول إلى المحتوى، قياس الأثر، التنسيق والمتابعة)، ثم طُبِّق «لماذا الخمس»: </w:t>
            </w:r>
            <w:r>
              <w:rPr>
                <w:rFonts w:ascii="Arial" w:cs="Arial" w:hAnsi="Arial"/>
                <w:color w:val="1D2B36"/>
                <w:sz w:val="18"/>
                <w:szCs w:val="18"/>
                <w:rtl/>
              </w:rPr>
              <w:t xml:space="preserve">لماذا لم تتحقق المستهدفات؟ لصعوبة حضور الكادر ← لأن الحضور مرتبط بموعد بث ثابت ← لأن التدريب متزامن فقط ← لعدم وجود محتوى مسجّل ومنصة موحدة ← لغياب مسار رقمي متكامل للتعلّم والقياس. </w:t>
            </w:r>
            <w:r>
              <w:rPr>
                <w:rFonts w:ascii="Arial" w:cs="Arial" w:hAnsi="Arial"/>
                <w:b/>
                <w:bCs/>
                <w:color w:val="1D2B36"/>
                <w:sz w:val="18"/>
                <w:szCs w:val="18"/>
                <w:rtl/>
              </w:rPr>
              <w:t xml:space="preserve">السببان الجذريان: </w:t>
            </w:r>
            <w:r>
              <w:rPr>
                <w:rFonts w:ascii="Arial" w:cs="Arial" w:hAnsi="Arial"/>
                <w:color w:val="1D2B36"/>
                <w:sz w:val="18"/>
                <w:szCs w:val="18"/>
                <w:rtl/>
              </w:rPr>
              <w:t xml:space="preserve">(1) ارتباط التدريب النظري بموعد متزامن واحد لا يتوافق مع المناوبات، (2) غياب مسار منهجي لقياس التعلّم يوجّه المتابعة. وأكدت بيانات 2025 عبء الترحيل؛ إذ شكّلت موضوعات 2024 المُرحّلة 83% من مستهدف الحضور. واستُبعد «غياب المؤشرات» لأنها معتمدة ومتاحة.</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مخطط عظمة السمكة (Fishbone / Ishikawa) + تحليل لماذا الخمس (5 Whys)</w:t>
            </w:r>
          </w:p>
        </w:tc>
      </w:tr>
      <w:tr>
        <w:trPr>
          <w:cantSplit/>
        </w:trPr>
        <w:tc>
          <w:tcPr>
            <w:tcW w:type="dxa" w:w="10306"/>
            <w:gridSpan w:val="2"/>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spacing w:after="0"/>
              <w:jc w:val="center"/>
            </w:pPr>
            <w:r>
              <w:drawing>
                <wp:inline distT="0" distB="0" distL="0" distR="0">
                  <wp:extent cx="61912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095625"/>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S: Select – </w:t>
            </w:r>
            <w:r>
              <w:rPr>
                <w:rFonts w:ascii="Arial" w:cs="Arial" w:hAnsi="Arial"/>
                <w:b/>
                <w:bCs/>
                <w:color w:val="0B3C5D"/>
                <w:sz w:val="20"/>
                <w:szCs w:val="20"/>
                <w:rtl/>
              </w:rPr>
              <w:t xml:space="preserve">تحديد الحلول للمشكلة مرتبة حسب الأولويات</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قورنت </w:t>
            </w:r>
            <w:r>
              <w:rPr>
                <w:rFonts w:ascii="Arial" w:cs="Arial" w:hAnsi="Arial"/>
                <w:b/>
                <w:bCs/>
                <w:color w:val="1D2B36"/>
                <w:sz w:val="18"/>
                <w:szCs w:val="18"/>
                <w:rtl/>
              </w:rPr>
              <w:t xml:space="preserve">3 بدائل</w:t>
            </w:r>
            <w:r>
              <w:rPr>
                <w:rFonts w:ascii="Arial" w:cs="Arial" w:hAnsi="Arial"/>
                <w:color w:val="1D2B36"/>
                <w:sz w:val="18"/>
                <w:szCs w:val="18"/>
                <w:rtl/>
              </w:rPr>
              <w:t xml:space="preserve"> وفق </w:t>
            </w:r>
            <w:r>
              <w:rPr>
                <w:rFonts w:ascii="Arial" w:cs="Arial" w:hAnsi="Arial"/>
                <w:b/>
                <w:bCs/>
                <w:color w:val="1D2B36"/>
                <w:sz w:val="18"/>
                <w:szCs w:val="18"/>
                <w:rtl/>
              </w:rPr>
              <w:t xml:space="preserve">6 معايير</w:t>
            </w:r>
            <w:r>
              <w:rPr>
                <w:rFonts w:ascii="Arial" w:cs="Arial" w:hAnsi="Arial"/>
                <w:color w:val="1D2B36"/>
                <w:sz w:val="18"/>
                <w:szCs w:val="18"/>
                <w:rtl/>
              </w:rPr>
              <w:t xml:space="preserve"> (مرونة التوقيت، ملاءمة المراكز الطرفية، قياس التحسن المعرفي، التطبيق العملي، الجهد التنظيمي، شمولية معالجة الأسباب). اختير </w:t>
            </w:r>
            <w:r>
              <w:rPr>
                <w:rFonts w:ascii="Arial" w:cs="Arial" w:hAnsi="Arial"/>
                <w:b/>
                <w:bCs/>
                <w:color w:val="1D2B36"/>
                <w:sz w:val="18"/>
                <w:szCs w:val="18"/>
                <w:rtl/>
              </w:rPr>
              <w:t xml:space="preserve">التعلّم المدمج</w:t>
            </w:r>
            <w:r>
              <w:rPr>
                <w:rFonts w:ascii="Arial" w:cs="Arial" w:hAnsi="Arial"/>
                <w:color w:val="1D2B36"/>
                <w:sz w:val="18"/>
                <w:szCs w:val="18"/>
                <w:rtl/>
              </w:rPr>
              <w:t xml:space="preserve">: منصة موحدة بمحتوى مسجّل واختبارات قبلية/بعدية/لاحقة + ورش تطبيقية قصيرة داخل المراكز؛ لأنه البديل الوحيد الذي يعالج السببين الجذريين معًا. ويتّسق الاختيار مع الأدلة العلمية؛ إذ أظهرت مراجعة منهجية وتحليل تلوي (Liu et al., 2016) أن التعلّم المدمج في المهن الصحية يحقق نتائج معرفية أفضل من التعليم التقليدي أو مماثلة له.</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مصفوفة المفاضلة بين الحلول (Solution Selection Matrix)</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14625" cy="1695450"/>
                          </a:xfrm>
                          <a:prstGeom prst="rect">
                            <a:avLst/>
                          </a:prstGeom>
                        </pic:spPr>
                      </pic:pic>
                    </a:graphicData>
                  </a:graphic>
                </wp:inline>
              </w:drawing>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06"/>
        <w:gridCol w:w="4400"/>
      </w:tblGrid>
      <w:tr>
        <w:trPr>
          <w:cantSplit/>
        </w:trPr>
        <w:tc>
          <w:tcPr>
            <w:tcW w:type="dxa" w:w="10306"/>
            <w:gridSpan w:val="2"/>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20"/>
                <w:szCs w:val="20"/>
                <w:rtl/>
              </w:rPr>
              <w:t xml:space="preserve">Project Steps (FOCUS – PDCA)  </w:t>
            </w:r>
            <w:r>
              <w:rPr>
                <w:rFonts w:ascii="Arial" w:cs="Arial" w:hAnsi="Arial"/>
                <w:b/>
                <w:bCs/>
                <w:color w:val="FFFFFF"/>
                <w:sz w:val="20"/>
                <w:szCs w:val="20"/>
                <w:rtl/>
              </w:rPr>
              <w:t xml:space="preserve">خطوات المشروع تبعًا لمنهجية</w:t>
            </w:r>
          </w:p>
        </w:tc>
      </w:tr>
      <w:tr>
        <w:trPr>
          <w:cantSplit/>
          <w:tblHeader/>
        </w:trPr>
        <w:tc>
          <w:tcPr>
            <w:tcW w:type="dxa" w:w="590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PDCA Steps / Description / Tools</w:t>
            </w:r>
          </w:p>
          <w:p>
            <w:pPr>
              <w:bidi/>
              <w:spacing w:after="0" w:before="0" w:line="260"/>
              <w:jc w:val="center"/>
            </w:pPr>
            <w:r>
              <w:rPr>
                <w:rFonts w:ascii="Arial" w:cs="Arial" w:hAnsi="Arial"/>
                <w:b/>
                <w:bCs/>
                <w:color w:val="0B3C5D"/>
                <w:sz w:val="17"/>
                <w:szCs w:val="17"/>
                <w:rtl/>
              </w:rPr>
              <w:t xml:space="preserve">الخطوات / الشرح / الأدوات</w:t>
            </w:r>
          </w:p>
        </w:tc>
        <w:tc>
          <w:tcPr>
            <w:tcW w:type="dxa" w:w="4400"/>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Insert relevant graphs, data, charts</w:t>
            </w:r>
          </w:p>
          <w:p>
            <w:pPr>
              <w:bidi/>
              <w:spacing w:after="0" w:before="0" w:line="260"/>
              <w:jc w:val="center"/>
            </w:pPr>
            <w:r>
              <w:rPr>
                <w:rFonts w:ascii="Arial" w:cs="Arial" w:hAnsi="Arial"/>
                <w:b/>
                <w:bCs/>
                <w:color w:val="0B3C5D"/>
                <w:sz w:val="17"/>
                <w:szCs w:val="17"/>
                <w:rtl/>
              </w:rPr>
              <w:t xml:space="preserve">الرسوم البيانية والبيانات والمخططات ذات الصلة</w:t>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P: Plan – </w:t>
            </w:r>
            <w:r>
              <w:rPr>
                <w:rFonts w:ascii="Arial" w:cs="Arial" w:hAnsi="Arial"/>
                <w:b/>
                <w:bCs/>
                <w:color w:val="0B3C5D"/>
                <w:sz w:val="20"/>
                <w:szCs w:val="20"/>
                <w:rtl/>
              </w:rPr>
              <w:t xml:space="preserve">الخطة التنفيذية للحلول</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خطة تنفيذية تحدد لكل نشاط: ماذا، ومن، ومتى، ومؤشر النجاح، على 5 مراحل: تحليل الفجوات واعتماد خط الأساس ومقاييس النجاح في مارس، ثم إعداد المحتوى والاختبارات وبرمجة المنصة مع المطوّر التقني بدءًا من 17 أبريل، ثم التجربة على نطاق صغير بالمراكز الطرفية في مايو، ثم التعميم وتنفيذ الورش في يونيو، ثم المتابعة والقياس حتى أكتوبر. </w:t>
            </w:r>
            <w:r>
              <w:rPr>
                <w:rFonts w:ascii="Arial" w:cs="Arial" w:hAnsi="Arial"/>
                <w:b/>
                <w:bCs/>
                <w:color w:val="1D2B36"/>
                <w:sz w:val="18"/>
                <w:szCs w:val="18"/>
                <w:rtl/>
              </w:rPr>
              <w:t xml:space="preserve">حُدِّدت 4 مؤشرات نجاح مرتبطة مباشرة بالهدف الذكي.</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خطة العمل ومخطط جانت (Action Plan / Gantt Chart)</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D: Do – </w:t>
            </w:r>
            <w:r>
              <w:rPr>
                <w:rFonts w:ascii="Arial" w:cs="Arial" w:hAnsi="Arial"/>
                <w:b/>
                <w:bCs/>
                <w:color w:val="0B3C5D"/>
                <w:sz w:val="20"/>
                <w:szCs w:val="20"/>
                <w:rtl/>
              </w:rPr>
              <w:t xml:space="preserve">تنفيذ الخطة (نطاق صغير)</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بدأ </w:t>
            </w:r>
            <w:r>
              <w:rPr>
                <w:rFonts w:ascii="Arial" w:cs="Arial" w:hAnsi="Arial"/>
                <w:b/>
                <w:bCs/>
                <w:color w:val="1D2B36"/>
                <w:sz w:val="18"/>
                <w:szCs w:val="18"/>
                <w:rtl/>
              </w:rPr>
              <w:t xml:space="preserve">التطبيق التجريبي في مايو 2026 بالمراكز الطرفية</w:t>
            </w:r>
            <w:r>
              <w:rPr>
                <w:rFonts w:ascii="Arial" w:cs="Arial" w:hAnsi="Arial"/>
                <w:color w:val="1D2B36"/>
                <w:sz w:val="18"/>
                <w:szCs w:val="18"/>
                <w:rtl/>
              </w:rPr>
              <w:t xml:space="preserve"> (الأكثر تأثرًا بالبعد الجغرافي) للتحقق من سهولة الدخول ووضوح المحتوى وعمل الاختبارات، ثم </w:t>
            </w:r>
            <w:r>
              <w:rPr>
                <w:rFonts w:ascii="Arial" w:cs="Arial" w:hAnsi="Arial"/>
                <w:b/>
                <w:bCs/>
                <w:color w:val="1D2B36"/>
                <w:sz w:val="18"/>
                <w:szCs w:val="18"/>
                <w:rtl/>
              </w:rPr>
              <w:t xml:space="preserve">عُمِّم في يونيو على المراكز العشرة</w:t>
            </w:r>
            <w:r>
              <w:rPr>
                <w:rFonts w:ascii="Arial" w:cs="Arial" w:hAnsi="Arial"/>
                <w:color w:val="1D2B36"/>
                <w:sz w:val="18"/>
                <w:szCs w:val="18"/>
                <w:rtl/>
              </w:rPr>
              <w:t xml:space="preserve">. أُتيحت 5 محاضرات مسجلة تغطي 12 موضوعًا مع اختبارات إلكترونية قبلية وبعدية لكل موضوع، ونُفِّذت 10 ورش تطبيقية داخل المراكز، مع متابعة الدخول وإتمام التقييمات دون الحاجة إلى مواعيد بث مباشر متكررة.</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قائمة التحقق من التنفيذ (Implementation Checklist) + التجربة المرحلية (Pilot)</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C: Check – </w:t>
            </w:r>
            <w:r>
              <w:rPr>
                <w:rFonts w:ascii="Arial" w:cs="Arial" w:hAnsi="Arial"/>
                <w:b/>
                <w:bCs/>
                <w:color w:val="0B3C5D"/>
                <w:sz w:val="20"/>
                <w:szCs w:val="20"/>
                <w:rtl/>
              </w:rPr>
              <w:t xml:space="preserve">متابعة وتقييم التنفيذ</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قيس الأثر على مستوى «التعلّم» (المستوى الثاني في نموذج Kirkpatrick) عبر </w:t>
            </w:r>
            <w:r>
              <w:rPr>
                <w:rFonts w:ascii="Arial" w:cs="Arial" w:hAnsi="Arial"/>
                <w:b/>
                <w:bCs/>
                <w:color w:val="1D2B36"/>
                <w:sz w:val="18"/>
                <w:szCs w:val="18"/>
                <w:rtl/>
              </w:rPr>
              <w:t xml:space="preserve">62 سجل تقييم مقترن</w:t>
            </w:r>
            <w:r>
              <w:rPr>
                <w:rFonts w:ascii="Arial" w:cs="Arial" w:hAnsi="Arial"/>
                <w:color w:val="1D2B36"/>
                <w:sz w:val="18"/>
                <w:szCs w:val="18"/>
                <w:rtl/>
              </w:rPr>
              <w:t xml:space="preserve">: ارتفع المتوسط المرجح من </w:t>
            </w:r>
            <w:r>
              <w:rPr>
                <w:rFonts w:ascii="Arial" w:cs="Arial" w:hAnsi="Arial"/>
                <w:b/>
                <w:bCs/>
                <w:color w:val="1D2B36"/>
                <w:sz w:val="18"/>
                <w:szCs w:val="18"/>
                <w:rtl/>
              </w:rPr>
              <w:t xml:space="preserve">78.45% إلى 90.66%</w:t>
            </w:r>
            <w:r>
              <w:rPr>
                <w:rFonts w:ascii="Arial" w:cs="Arial" w:hAnsi="Arial"/>
                <w:color w:val="1D2B36"/>
                <w:sz w:val="18"/>
                <w:szCs w:val="18"/>
                <w:rtl/>
              </w:rPr>
              <w:t xml:space="preserve"> (+12.21 نقطة مئوية؛ تحسّن نسبي 15.6%)، وبلغ متوسط الاختبار الورقي اللاحق للاحتفاظ بالمعلومات </w:t>
            </w:r>
            <w:r>
              <w:rPr>
                <w:rFonts w:ascii="Arial" w:cs="Arial" w:hAnsi="Arial"/>
                <w:b/>
                <w:bCs/>
                <w:color w:val="1D2B36"/>
                <w:sz w:val="18"/>
                <w:szCs w:val="18"/>
                <w:rtl/>
              </w:rPr>
              <w:t xml:space="preserve">85.68%</w:t>
            </w:r>
            <w:r>
              <w:rPr>
                <w:rFonts w:ascii="Arial" w:cs="Arial" w:hAnsi="Arial"/>
                <w:color w:val="1D2B36"/>
                <w:sz w:val="18"/>
                <w:szCs w:val="18"/>
                <w:rtl/>
              </w:rPr>
              <w:t xml:space="preserve"> (37 نتيجة). واستخدم المنصة </w:t>
            </w:r>
            <w:r>
              <w:rPr>
                <w:rFonts w:ascii="Arial" w:cs="Arial" w:hAnsi="Arial"/>
                <w:b/>
                <w:bCs/>
                <w:color w:val="1D2B36"/>
                <w:sz w:val="18"/>
                <w:szCs w:val="18"/>
                <w:rtl/>
              </w:rPr>
              <w:t xml:space="preserve">45 من 55 مستهدفًا (81.8%)</w:t>
            </w:r>
            <w:r>
              <w:rPr>
                <w:rFonts w:ascii="Arial" w:cs="Arial" w:hAnsi="Arial"/>
                <w:color w:val="1D2B36"/>
                <w:sz w:val="18"/>
                <w:szCs w:val="18"/>
                <w:rtl/>
              </w:rPr>
              <w:t xml:space="preserve">، وتحققت مستهدفات الخطة الأكاديمية للأرباع الثلاثة الأولى من 2026 بنسبة </w:t>
            </w:r>
            <w:r>
              <w:rPr>
                <w:rFonts w:ascii="Arial" w:cs="Arial" w:hAnsi="Arial"/>
                <w:b/>
                <w:bCs/>
                <w:color w:val="1D2B36"/>
                <w:sz w:val="18"/>
                <w:szCs w:val="18"/>
                <w:rtl/>
              </w:rPr>
              <w:t xml:space="preserve">100%</w:t>
            </w:r>
            <w:r>
              <w:rPr>
                <w:rFonts w:ascii="Arial" w:cs="Arial" w:hAnsi="Arial"/>
                <w:color w:val="1D2B36"/>
                <w:sz w:val="18"/>
                <w:szCs w:val="18"/>
                <w:rtl/>
              </w:rPr>
              <w:t xml:space="preserve"> مقابل خط أساس 69.60%. وقيس رضا المستخدمين باستبيان إلكتروني: </w:t>
            </w:r>
            <w:r>
              <w:rPr>
                <w:rFonts w:ascii="Arial" w:cs="Arial" w:hAnsi="Arial"/>
                <w:b/>
                <w:bCs/>
                <w:color w:val="1D2B36"/>
                <w:sz w:val="18"/>
                <w:szCs w:val="18"/>
                <w:rtl/>
              </w:rPr>
              <w:t xml:space="preserve">متوسط 4.73 من 5 (94.7%)</w:t>
            </w:r>
            <w:r>
              <w:rPr>
                <w:rFonts w:ascii="Arial" w:cs="Arial" w:hAnsi="Arial"/>
                <w:color w:val="1D2B36"/>
                <w:sz w:val="18"/>
                <w:szCs w:val="18"/>
                <w:rtl/>
              </w:rPr>
              <w:t xml:space="preserve">، وجميع الإجابات «موافق» أو «موافق بشدة» (6 ردود).</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تحليل قبلي–بعدي (Pre–Post) + لوحة مؤشرات (KPI Dashboard) + مخطط التشغيل (Run Chart) + استبيان رضا المستفيد</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A: Act – </w:t>
            </w:r>
            <w:r>
              <w:rPr>
                <w:rFonts w:ascii="Arial" w:cs="Arial" w:hAnsi="Arial"/>
                <w:b/>
                <w:bCs/>
                <w:color w:val="0B3C5D"/>
                <w:sz w:val="20"/>
                <w:szCs w:val="20"/>
                <w:rtl/>
              </w:rPr>
              <w:t xml:space="preserve">تعميم التنفيذ والاستمرارية</w:t>
            </w:r>
          </w:p>
          <w:p>
            <w:pPr>
              <w:bidi/>
              <w:spacing w:after="60" w:before="0" w:line="260"/>
              <w:jc w:val="both"/>
            </w:pPr>
            <w:r>
              <w:rPr>
                <w:rFonts w:ascii="Arial" w:cs="Arial" w:hAnsi="Arial"/>
                <w:b/>
                <w:bCs/>
                <w:color w:val="0E8A8A"/>
                <w:sz w:val="18"/>
                <w:szCs w:val="18"/>
                <w:rtl/>
              </w:rPr>
              <w:t xml:space="preserve">الوصف: </w:t>
            </w:r>
            <w:r>
              <w:rPr>
                <w:rFonts w:ascii="Arial" w:cs="Arial" w:hAnsi="Arial"/>
                <w:color w:val="1D2B36"/>
                <w:sz w:val="18"/>
                <w:szCs w:val="18"/>
                <w:rtl/>
              </w:rPr>
              <w:t xml:space="preserve">يُحافَظ على التعلّم المدمج قناةً ثابتة للتدريب النظري في المراكز العشرة وفق </w:t>
            </w:r>
            <w:r>
              <w:rPr>
                <w:rFonts w:ascii="Arial" w:cs="Arial" w:hAnsi="Arial"/>
                <w:b/>
                <w:bCs/>
                <w:color w:val="1D2B36"/>
                <w:sz w:val="18"/>
                <w:szCs w:val="18"/>
                <w:rtl/>
              </w:rPr>
              <w:t xml:space="preserve">خطة ضبط</w:t>
            </w:r>
            <w:r>
              <w:rPr>
                <w:rFonts w:ascii="Arial" w:cs="Arial" w:hAnsi="Arial"/>
                <w:color w:val="1D2B36"/>
                <w:sz w:val="18"/>
                <w:szCs w:val="18"/>
                <w:rtl/>
              </w:rPr>
              <w:t xml:space="preserve"> تحدد لكل مؤشر تكرار المتابعة وحدّ التدخل؛ وأي انحراف يُطلق دورة PDCA جديدة. وتشمل الاستدامة: تحديث المحتوى وفق الأدلة الإرشادية، وتوظيف نتائج الاختبارات لتحديد الفجوات المعرفية وتوجيه الخطة التدريبية المقبلة. </w:t>
            </w:r>
            <w:r>
              <w:rPr>
                <w:rFonts w:ascii="Arial" w:cs="Arial" w:hAnsi="Arial"/>
                <w:b/>
                <w:bCs/>
                <w:color w:val="1D2B36"/>
                <w:sz w:val="18"/>
                <w:szCs w:val="18"/>
                <w:rtl/>
              </w:rPr>
              <w:t xml:space="preserve">الدورة التالية (PDCA 2): </w:t>
            </w:r>
            <w:r>
              <w:rPr>
                <w:rFonts w:ascii="Arial" w:cs="Arial" w:hAnsi="Arial"/>
                <w:color w:val="1D2B36"/>
                <w:sz w:val="18"/>
                <w:szCs w:val="18"/>
                <w:rtl/>
              </w:rPr>
              <w:t xml:space="preserve">معالجة ملاحظات المستخدمين (استئناف الفيديو، وسرعة التحميل، ووحدات تعلّم مصغّر)، وإضافة محتوى للموضوعات الأدنى إنجازًا في 2025 وأولها علم الأدوية وإعطاؤها (11%) الذي طلبه المستخدمون أيضًا، ومعايرة المستهدفات لتجنّب الموضوعات ذات المستهدف الصفري (25 موضوعًا في 2025). </w:t>
            </w:r>
            <w:r>
              <w:rPr>
                <w:rFonts w:ascii="Arial" w:cs="Arial" w:hAnsi="Arial"/>
                <w:b/>
                <w:bCs/>
                <w:color w:val="1D2B36"/>
                <w:sz w:val="18"/>
                <w:szCs w:val="18"/>
                <w:rtl/>
              </w:rPr>
              <w:t xml:space="preserve">فرص التعميم: </w:t>
            </w:r>
            <w:r>
              <w:rPr>
                <w:rFonts w:ascii="Arial" w:cs="Arial" w:hAnsi="Arial"/>
                <w:color w:val="1D2B36"/>
                <w:sz w:val="18"/>
                <w:szCs w:val="18"/>
                <w:rtl/>
              </w:rPr>
              <w:t xml:space="preserve">إدراج المحتوى ضمن تهيئة الموظفين الجدد، ونقل التجربة إلى قطاعات وفئات مهنية أخرى بالتجمع.</w:t>
            </w:r>
          </w:p>
          <w:p>
            <w:pPr>
              <w:bidi/>
              <w:spacing w:after="0" w:before="0" w:line="260"/>
            </w:pPr>
            <w:r>
              <w:rPr>
                <w:rFonts w:ascii="Arial" w:cs="Arial" w:hAnsi="Arial"/>
                <w:b/>
                <w:bCs/>
                <w:color w:val="0E8A8A"/>
                <w:sz w:val="18"/>
                <w:szCs w:val="18"/>
                <w:rtl/>
              </w:rPr>
              <w:t xml:space="preserve">الأداة: </w:t>
            </w:r>
            <w:r>
              <w:rPr>
                <w:rFonts w:ascii="Arial" w:cs="Arial" w:hAnsi="Arial"/>
                <w:b/>
                <w:bCs/>
                <w:color w:val="1D2B36"/>
                <w:sz w:val="18"/>
                <w:szCs w:val="18"/>
                <w:rtl/>
              </w:rPr>
              <w:t xml:space="preserve">خطة الضبط (Control Plan) + التوحيد القياسي (Standardization)</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10306"/>
            <w:gridSpan w:val="2"/>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spacing w:after="0"/>
              <w:jc w:val="center"/>
            </w:pPr>
            <w:r>
              <w:drawing>
                <wp:inline distT="0" distB="0" distL="0" distR="0">
                  <wp:extent cx="61912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2209800"/>
                          </a:xfrm>
                          <a:prstGeom prst="rect">
                            <a:avLst/>
                          </a:prstGeom>
                        </pic:spPr>
                      </pic:pic>
                    </a:graphicData>
                  </a:graphic>
                </wp:inline>
              </w:drawing>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06"/>
        <w:gridCol w:w="4400"/>
      </w:tblGrid>
      <w:tr>
        <w:trPr>
          <w:cantSplit/>
        </w:trPr>
        <w:tc>
          <w:tcPr>
            <w:tcW w:type="dxa" w:w="10306"/>
            <w:gridSpan w:val="2"/>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20"/>
                <w:szCs w:val="20"/>
                <w:rtl/>
              </w:rPr>
              <w:t xml:space="preserve">Project Results (achievements)  </w:t>
            </w:r>
            <w:r>
              <w:rPr>
                <w:rFonts w:ascii="Arial" w:cs="Arial" w:hAnsi="Arial"/>
                <w:b/>
                <w:bCs/>
                <w:color w:val="FFFFFF"/>
                <w:sz w:val="20"/>
                <w:szCs w:val="20"/>
                <w:rtl/>
              </w:rPr>
              <w:t xml:space="preserve">نتائج المشروع (الإنجاز)</w:t>
            </w:r>
          </w:p>
        </w:tc>
      </w:tr>
      <w:tr>
        <w:trPr>
          <w:cantSplit/>
        </w:trPr>
        <w:tc>
          <w:tcPr>
            <w:tcW w:type="dxa" w:w="5906"/>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Illustrate improvement (pre and post project)</w:t>
            </w:r>
          </w:p>
          <w:p>
            <w:pPr>
              <w:bidi/>
              <w:spacing w:after="0" w:before="0" w:line="260"/>
              <w:jc w:val="center"/>
            </w:pPr>
            <w:r>
              <w:rPr>
                <w:rFonts w:ascii="Arial" w:cs="Arial" w:hAnsi="Arial"/>
                <w:b/>
                <w:bCs/>
                <w:color w:val="0B3C5D"/>
                <w:sz w:val="17"/>
                <w:szCs w:val="17"/>
                <w:rtl/>
              </w:rPr>
              <w:t xml:space="preserve">توضيح التحسين (قبل وبعد المشروع)</w:t>
            </w:r>
          </w:p>
        </w:tc>
        <w:tc>
          <w:tcPr>
            <w:tcW w:type="dxa" w:w="4400"/>
            <w:tcBorders>
              <w:top w:val="single" w:color="7F9DB5" w:sz="6"/>
              <w:left w:val="single" w:color="7F9DB5" w:sz="6"/>
              <w:bottom w:val="single" w:color="7F9DB5" w:sz="6"/>
              <w:right w:val="single" w:color="7F9DB5" w:sz="6"/>
            </w:tcBorders>
            <w:shd w:fill="D9E2F3"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Insert relevant graphs, data, charts</w:t>
            </w:r>
          </w:p>
          <w:p>
            <w:pPr>
              <w:bidi/>
              <w:spacing w:after="0" w:before="0" w:line="260"/>
              <w:jc w:val="center"/>
            </w:pPr>
            <w:r>
              <w:rPr>
                <w:rFonts w:ascii="Arial" w:cs="Arial" w:hAnsi="Arial"/>
                <w:b/>
                <w:bCs/>
                <w:color w:val="0B3C5D"/>
                <w:sz w:val="17"/>
                <w:szCs w:val="17"/>
                <w:rtl/>
              </w:rPr>
              <w:t xml:space="preserve">الرسوم البيانية والبيانات ذات الصلة</w:t>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20" w:before="0" w:line="260"/>
            </w:pPr>
            <w:r>
              <w:rPr>
                <w:rFonts w:ascii="Arial" w:cs="Arial" w:hAnsi="Arial"/>
                <w:b/>
                <w:bCs/>
                <w:color w:val="0B3C5D"/>
                <w:sz w:val="18"/>
                <w:szCs w:val="18"/>
                <w:rtl/>
              </w:rPr>
              <w:t xml:space="preserve">Data Baseline – Target – Improvement</w:t>
            </w:r>
          </w:p>
          <w:p>
            <w:pPr>
              <w:bidi/>
              <w:spacing w:after="60" w:before="0" w:line="260"/>
            </w:pPr>
            <w:r>
              <w:rPr>
                <w:rFonts w:ascii="Arial" w:cs="Arial" w:hAnsi="Arial"/>
                <w:b/>
                <w:bCs/>
                <w:color w:val="0B3C5D"/>
                <w:sz w:val="18"/>
                <w:szCs w:val="18"/>
                <w:rtl/>
              </w:rPr>
              <w:t xml:space="preserve">البيانات الأساسية – المستهدف – التحسين</w:t>
            </w:r>
          </w:p>
          <w:p>
            <w:pPr>
              <w:bidi/>
              <w:spacing w:after="20" w:before="0" w:line="260"/>
            </w:pPr>
            <w:r>
              <w:rPr>
                <w:rFonts w:ascii="Arial" w:cs="Arial" w:hAnsi="Arial"/>
                <w:b/>
                <w:bCs/>
                <w:color w:val="7F8C8D"/>
                <w:sz w:val="18"/>
                <w:szCs w:val="18"/>
                <w:rtl/>
              </w:rPr>
              <w:t xml:space="preserve">☐ </w:t>
            </w:r>
            <w:r>
              <w:rPr>
                <w:rFonts w:ascii="Arial" w:cs="Arial" w:hAnsi="Arial"/>
                <w:b w:val="false"/>
                <w:color w:val="1D2B36"/>
                <w:sz w:val="18"/>
                <w:szCs w:val="18"/>
                <w:rtl/>
              </w:rPr>
              <w:t xml:space="preserve">Achieved Target (تحقيق المستهدف) فقط</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Exceeded Target (تخطي المستهدف)</w:t>
            </w:r>
            <w:r>
              <w:rPr>
                <w:rFonts w:ascii="Arial" w:cs="Arial" w:hAnsi="Arial"/>
                <w:color w:val="5B6E7C"/>
                <w:sz w:val="16"/>
                <w:szCs w:val="16"/>
                <w:rtl/>
              </w:rPr>
              <w:t xml:space="preserve"> – تجاوزت 3 مؤشرات من 5 مستهدفاتها وتحقق المؤشران الآخران بالكامل</w:t>
            </w:r>
          </w:p>
          <w:p>
            <w:pPr>
              <w:bidi/>
              <w:spacing w:after="20" w:before="0" w:line="260"/>
            </w:pPr>
            <w:r>
              <w:rPr>
                <w:rFonts w:ascii="Arial" w:cs="Arial" w:hAnsi="Arial"/>
                <w:b/>
                <w:bCs/>
                <w:color w:val="7F8C8D"/>
                <w:sz w:val="18"/>
                <w:szCs w:val="18"/>
                <w:rtl/>
              </w:rPr>
              <w:t xml:space="preserve">☐ </w:t>
            </w:r>
            <w:r>
              <w:rPr>
                <w:rFonts w:ascii="Arial" w:cs="Arial" w:hAnsi="Arial"/>
                <w:b w:val="false"/>
                <w:color w:val="1D2B36"/>
                <w:sz w:val="18"/>
                <w:szCs w:val="18"/>
                <w:rtl/>
              </w:rPr>
              <w:t xml:space="preserve">Not Achieved Target (لم يتحقق المستهدف)</w:t>
            </w:r>
          </w:p>
          <w:p>
            <w:pPr>
              <w:bidi/>
              <w:spacing w:after="40" w:before="40" w:line="260"/>
              <w:jc w:val="both"/>
            </w:pPr>
            <w:r>
              <w:rPr>
                <w:rFonts w:ascii="Arial" w:cs="Arial" w:hAnsi="Arial"/>
                <w:b/>
                <w:bCs/>
                <w:color w:val="1D2B36"/>
                <w:sz w:val="18"/>
                <w:szCs w:val="18"/>
                <w:rtl/>
              </w:rPr>
              <w:t xml:space="preserve">كيف؟ </w:t>
            </w:r>
            <w:r>
              <w:rPr>
                <w:rFonts w:ascii="Arial" w:cs="Arial" w:hAnsi="Arial"/>
                <w:color w:val="1D2B36"/>
                <w:sz w:val="18"/>
                <w:szCs w:val="18"/>
                <w:rtl/>
              </w:rPr>
              <w:t xml:space="preserve">بمعالجة السببين الجذريين معًا: فصل التعلّم النظري عن الموعد الثابت (مرونة تتوافق مع المناوبات)، ودمج القياس في مسار التعلّم (قبلي/بعدي/لاحق) لتوجيه المتابعة.</w:t>
            </w:r>
          </w:p>
          <w:p>
            <w:pPr>
              <w:bidi/>
              <w:spacing w:after="40" w:before="0" w:line="260"/>
              <w:jc w:val="both"/>
            </w:pPr>
            <w:r>
              <w:rPr>
                <w:rFonts w:ascii="Arial" w:cs="Arial" w:hAnsi="Arial"/>
                <w:b/>
                <w:bCs/>
                <w:color w:val="1D2B36"/>
                <w:sz w:val="18"/>
                <w:szCs w:val="18"/>
                <w:rtl/>
              </w:rPr>
              <w:t xml:space="preserve">القيمة النسبية: </w:t>
            </w:r>
            <w:r>
              <w:rPr>
                <w:rFonts w:ascii="Arial" w:cs="Arial" w:hAnsi="Arial"/>
                <w:color w:val="1D2B36"/>
                <w:sz w:val="18"/>
                <w:szCs w:val="18"/>
                <w:rtl/>
              </w:rPr>
              <w:t xml:space="preserve">ارتفاع إنجاز المستهدفات الأكاديمية بنسبة 43.7% مقارنة بخط الأساس (من 69.60% إلى 100%).</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10306"/>
            <w:gridSpan w:val="2"/>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tbl>
            <w:tblPr>
              <w:bidiVisual/>
              <w:tblW w:type="dxa" w:w="10086"/>
              <w:tblBorders>
                <w:top w:val="single" w:color="auto" w:sz="4"/>
                <w:left w:val="single" w:color="auto" w:sz="4"/>
                <w:bottom w:val="single" w:color="auto" w:sz="4"/>
                <w:right w:val="single" w:color="auto" w:sz="4"/>
                <w:insideH w:val="single" w:color="auto" w:sz="4"/>
                <w:insideV w:val="single" w:color="auto" w:sz="4"/>
              </w:tblBorders>
            </w:tblPr>
            <w:tblGrid>
              <w:gridCol w:w="2180"/>
              <w:gridCol w:w="1250"/>
              <w:gridCol w:w="1250"/>
              <w:gridCol w:w="1250"/>
              <w:gridCol w:w="1356"/>
              <w:gridCol w:w="2800"/>
            </w:tblGrid>
            <w:tr>
              <w:trPr>
                <w:cantSplit/>
                <w:tblHeader/>
              </w:trPr>
              <w:tc>
                <w:tcPr>
                  <w:tcW w:type="dxa" w:w="218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المؤشر</w:t>
                  </w:r>
                </w:p>
              </w:tc>
              <w:tc>
                <w:tcPr>
                  <w:tcW w:type="dxa" w:w="125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خط الأساس</w:t>
                  </w:r>
                </w:p>
              </w:tc>
              <w:tc>
                <w:tcPr>
                  <w:tcW w:type="dxa" w:w="125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المستهدف</w:t>
                  </w:r>
                </w:p>
              </w:tc>
              <w:tc>
                <w:tcPr>
                  <w:tcW w:type="dxa" w:w="125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المتحقق</w:t>
                  </w:r>
                </w:p>
              </w:tc>
              <w:tc>
                <w:tcPr>
                  <w:tcW w:type="dxa" w:w="1356"/>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التحسن</w:t>
                  </w:r>
                </w:p>
              </w:tc>
              <w:tc>
                <w:tcPr>
                  <w:tcW w:type="dxa" w:w="280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الحالة / كيف تحقق؟</w:t>
                  </w:r>
                </w:p>
              </w:tc>
            </w:tr>
            <w:tr>
              <w:trPr>
                <w:cantSplit/>
              </w:trPr>
              <w:tc>
                <w:tcPr>
                  <w:tcW w:type="dxa" w:w="218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إنجاز المستهدفات الأكاديمية</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69.60%</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100%</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100%</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+30.40 ن.م</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تحقق المستهدف</w:t>
                  </w:r>
                </w:p>
                <w:p>
                  <w:pPr>
                    <w:bidi/>
                    <w:spacing w:after="0" w:before="0" w:line="260"/>
                  </w:pPr>
                  <w:r>
                    <w:rPr>
                      <w:rFonts w:ascii="Arial" w:cs="Arial" w:hAnsi="Arial"/>
                      <w:color w:val="5B6E7C"/>
                      <w:sz w:val="15"/>
                      <w:szCs w:val="15"/>
                      <w:rtl/>
                    </w:rPr>
                    <w:t xml:space="preserve">إتاحة التعلّم عند الطلب بما يتوافق مع المناوبات</w:t>
                  </w:r>
                </w:p>
              </w:tc>
            </w:tr>
            <w:tr>
              <w:trPr>
                <w:cantSplit/>
              </w:trPr>
              <w:tc>
                <w:tcPr>
                  <w:tcW w:type="dxa" w:w="218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استخدام المنصة من المستهدفين</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 80%</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81.8% (45/55)</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قناة جديدة</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تجاوز المستهدف</w:t>
                  </w:r>
                </w:p>
                <w:p>
                  <w:pPr>
                    <w:bidi/>
                    <w:spacing w:after="0" w:before="0" w:line="260"/>
                  </w:pPr>
                  <w:r>
                    <w:rPr>
                      <w:rFonts w:ascii="Arial" w:cs="Arial" w:hAnsi="Arial"/>
                      <w:color w:val="5B6E7C"/>
                      <w:sz w:val="15"/>
                      <w:szCs w:val="15"/>
                      <w:rtl/>
                    </w:rPr>
                    <w:t xml:space="preserve">منصة موحدة لـ10 مراكز بدل مواعيد بث ثابتة</w:t>
                  </w:r>
                </w:p>
              </w:tc>
            </w:tr>
            <w:tr>
              <w:trPr>
                <w:cantSplit/>
              </w:trPr>
              <w:tc>
                <w:tcPr>
                  <w:tcW w:type="dxa" w:w="218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الفرق القبلي – البعدي</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غير مُقاس</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 10 ن.م</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+12.21 ن.م</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78.45% ← 90.66%</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تجاوز المستهدف</w:t>
                  </w:r>
                </w:p>
                <w:p>
                  <w:pPr>
                    <w:bidi/>
                    <w:spacing w:after="0" w:before="0" w:line="260"/>
                  </w:pPr>
                  <w:r>
                    <w:rPr>
                      <w:rFonts w:ascii="Arial" w:cs="Arial" w:hAnsi="Arial"/>
                      <w:color w:val="5B6E7C"/>
                      <w:sz w:val="15"/>
                      <w:szCs w:val="15"/>
                      <w:rtl/>
                    </w:rPr>
                    <w:t xml:space="preserve">محتوى مسجّل قابل للمراجعة + اختبارات مدمجة</w:t>
                  </w:r>
                </w:p>
              </w:tc>
            </w:tr>
            <w:tr>
              <w:trPr>
                <w:cantSplit/>
              </w:trPr>
              <w:tc>
                <w:tcPr>
                  <w:tcW w:type="dxa" w:w="218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اختبار الاحتفاظ اللاحق</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غير مُقاس</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 80%</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85.68%</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+5.68 ن.م عن المستهدف</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تجاوز المستهدف</w:t>
                  </w:r>
                </w:p>
                <w:p>
                  <w:pPr>
                    <w:bidi/>
                    <w:spacing w:after="0" w:before="0" w:line="260"/>
                  </w:pPr>
                  <w:r>
                    <w:rPr>
                      <w:rFonts w:ascii="Arial" w:cs="Arial" w:hAnsi="Arial"/>
                      <w:color w:val="5B6E7C"/>
                      <w:sz w:val="15"/>
                      <w:szCs w:val="15"/>
                      <w:rtl/>
                    </w:rPr>
                    <w:t xml:space="preserve">تعزيز بالورش التطبيقية داخل المراكز</w:t>
                  </w:r>
                </w:p>
              </w:tc>
            </w:tr>
            <w:tr>
              <w:trPr>
                <w:cantSplit/>
              </w:trPr>
              <w:tc>
                <w:tcPr>
                  <w:tcW w:type="dxa" w:w="218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رضا المستخدمين عن المنصة</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غير مُقاس</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4.73 من 5</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94.7%</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مؤشر داعم</w:t>
                  </w:r>
                </w:p>
                <w:p>
                  <w:pPr>
                    <w:bidi/>
                    <w:spacing w:after="0" w:before="0" w:line="260"/>
                  </w:pPr>
                  <w:r>
                    <w:rPr>
                      <w:rFonts w:ascii="Arial" w:cs="Arial" w:hAnsi="Arial"/>
                      <w:color w:val="5B6E7C"/>
                      <w:sz w:val="15"/>
                      <w:szCs w:val="15"/>
                      <w:rtl/>
                    </w:rPr>
                    <w:t xml:space="preserve">6 ردود؛ 100% موافق أو موافق بشدة</w:t>
                  </w:r>
                </w:p>
              </w:tc>
            </w:tr>
            <w:tr>
              <w:trPr>
                <w:cantSplit/>
              </w:trPr>
              <w:tc>
                <w:tcPr>
                  <w:tcW w:type="dxa" w:w="218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تغطية المحتوى التدريبي</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color w:val="1D2B36"/>
                      <w:sz w:val="17"/>
                      <w:szCs w:val="17"/>
                      <w:rtl/>
                    </w:rPr>
                    <w:t xml:space="preserve">12 موضوعًا / 10 مراكز</w:t>
                  </w:r>
                </w:p>
              </w:tc>
              <w:tc>
                <w:tcPr>
                  <w:tcW w:type="dxa" w:w="125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0E8A8A"/>
                      <w:sz w:val="17"/>
                      <w:szCs w:val="17"/>
                      <w:rtl/>
                    </w:rPr>
                    <w:t xml:space="preserve">12 موضوعًا · 10 مراكز</w:t>
                  </w:r>
                </w:p>
              </w:tc>
              <w:tc>
                <w:tcPr>
                  <w:tcW w:type="dxa" w:w="135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center"/>
                  </w:pPr>
                  <w:r>
                    <w:rPr>
                      <w:rFonts w:ascii="Arial" w:cs="Arial" w:hAnsi="Arial"/>
                      <w:b/>
                      <w:bCs/>
                      <w:color w:val="1D2B36"/>
                      <w:sz w:val="17"/>
                      <w:szCs w:val="17"/>
                      <w:rtl/>
                    </w:rPr>
                    <w:t xml:space="preserve">100%</w:t>
                  </w:r>
                </w:p>
              </w:tc>
              <w:tc>
                <w:tcPr>
                  <w:tcW w:type="dxa" w:w="2800"/>
                  <w:tcBorders>
                    <w:top w:val="single" w:color="7F9DB5" w:sz="6"/>
                    <w:left w:val="single" w:color="7F9DB5" w:sz="6"/>
                    <w:bottom w:val="single" w:color="7F9DB5" w:sz="6"/>
                    <w:right w:val="single" w:color="7F9DB5" w:sz="6"/>
                  </w:tcBorders>
                  <w:shd w:fill="EAF4FA"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 تحقق المستهدف</w:t>
                  </w:r>
                </w:p>
                <w:p>
                  <w:pPr>
                    <w:bidi/>
                    <w:spacing w:after="0" w:before="0" w:line="260"/>
                  </w:pPr>
                  <w:r>
                    <w:rPr>
                      <w:rFonts w:ascii="Arial" w:cs="Arial" w:hAnsi="Arial"/>
                      <w:color w:val="5B6E7C"/>
                      <w:sz w:val="15"/>
                      <w:szCs w:val="15"/>
                      <w:rtl/>
                    </w:rPr>
                    <w:t xml:space="preserve">5 محاضرات مسجلة + 10 ورش تطبيقية</w:t>
                  </w:r>
                </w:p>
              </w:tc>
            </w:tr>
          </w:tbl>
          <w:p>
            <w:pPr>
              <w:bidi/>
              <w:spacing w:after="0" w:before="40" w:line="260"/>
            </w:pPr>
            <w:r>
              <w:rPr>
                <w:rFonts w:ascii="Arial" w:cs="Arial" w:hAnsi="Arial"/>
                <w:color w:val="5B6E7C"/>
                <w:sz w:val="14"/>
                <w:szCs w:val="14"/>
                <w:rtl/>
              </w:rPr>
              <w:t xml:space="preserve">ن.م = نقطة مئوية · المقاييس: المؤشرات الأكاديمية المعتمدة، سجلات المنصة، نتائج الاختبارات الإلكترونية والورقية.</w:t>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906"/>
        <w:gridCol w:w="4400"/>
      </w:tblGrid>
      <w:tr>
        <w:trPr>
          <w:cantSplit/>
        </w:trPr>
        <w:tc>
          <w:tcPr>
            <w:tcW w:type="dxa" w:w="10306"/>
            <w:gridSpan w:val="2"/>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20"/>
                <w:szCs w:val="20"/>
                <w:rtl/>
              </w:rPr>
              <w:t xml:space="preserve">Value Benefits/Impact: What is the improvement outcome?  </w:t>
            </w:r>
            <w:r>
              <w:rPr>
                <w:rFonts w:ascii="Arial" w:cs="Arial" w:hAnsi="Arial"/>
                <w:b/>
                <w:bCs/>
                <w:color w:val="FFFFFF"/>
                <w:sz w:val="20"/>
                <w:szCs w:val="20"/>
                <w:rtl/>
              </w:rPr>
              <w:t xml:space="preserve">القيمة / الفوائد / التأثير: ما هي نتيجة التحسين؟</w:t>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20" w:before="0" w:line="260"/>
            </w:pPr>
            <w:r>
              <w:rPr>
                <w:rFonts w:ascii="Arial" w:cs="Arial" w:hAnsi="Arial"/>
                <w:b/>
                <w:bCs/>
                <w:color w:val="7F8C8D"/>
                <w:sz w:val="18"/>
                <w:szCs w:val="18"/>
                <w:rtl/>
              </w:rPr>
              <w:t xml:space="preserve">☐ </w:t>
            </w:r>
            <w:r>
              <w:rPr>
                <w:rFonts w:ascii="Arial" w:cs="Arial" w:hAnsi="Arial"/>
                <w:b w:val="false"/>
                <w:color w:val="1D2B36"/>
                <w:sz w:val="18"/>
                <w:szCs w:val="18"/>
                <w:rtl/>
              </w:rPr>
              <w:t xml:space="preserve">Reduced Costs (انخفاض التكاليف)</w:t>
            </w:r>
            <w:r>
              <w:rPr>
                <w:rFonts w:ascii="Arial" w:cs="Arial" w:hAnsi="Arial"/>
                <w:color w:val="5B6E7C"/>
                <w:sz w:val="16"/>
                <w:szCs w:val="16"/>
                <w:rtl/>
              </w:rPr>
              <w:t xml:space="preserve"> – لم تُنسب وفورات مالية غير مُقاسة</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Reduced Risks (تقليل المخاطر)</w:t>
            </w:r>
            <w:r>
              <w:rPr>
                <w:rFonts w:ascii="Arial" w:cs="Arial" w:hAnsi="Arial"/>
                <w:color w:val="5B6E7C"/>
                <w:sz w:val="16"/>
                <w:szCs w:val="16"/>
                <w:rtl/>
              </w:rPr>
              <w:t xml:space="preserve"> – عبر رفع الكفاءة المعرفية للكادر</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Reduced Effort (تقليل المجهود)</w:t>
            </w:r>
            <w:r>
              <w:rPr>
                <w:rFonts w:ascii="Arial" w:cs="Arial" w:hAnsi="Arial"/>
                <w:color w:val="5B6E7C"/>
                <w:sz w:val="16"/>
                <w:szCs w:val="16"/>
                <w:rtl/>
              </w:rPr>
              <w:t xml:space="preserve"> – نصف جلسات 2025 كانت تكرارًا يُغني عنه المحتوى المسجّل</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Add Improvement (Process / Time) (تحسين عملية – وقت)</w:t>
            </w:r>
            <w:r>
              <w:rPr>
                <w:rFonts w:ascii="Arial" w:cs="Arial" w:hAnsi="Arial"/>
                <w:color w:val="5B6E7C"/>
                <w:sz w:val="16"/>
                <w:szCs w:val="16"/>
                <w:rtl/>
              </w:rPr>
              <w:t xml:space="preserve"> – مسار تعلّم مرن عند الطلب</w:t>
            </w:r>
          </w:p>
          <w:p>
            <w:pPr>
              <w:bidi/>
              <w:spacing w:after="20" w:before="0" w:line="260"/>
            </w:pPr>
            <w:r>
              <w:rPr>
                <w:rFonts w:ascii="Arial" w:cs="Arial" w:hAnsi="Arial"/>
                <w:b/>
                <w:bCs/>
                <w:color w:val="0E8A8A"/>
                <w:sz w:val="18"/>
                <w:szCs w:val="18"/>
                <w:rtl/>
              </w:rPr>
              <w:t xml:space="preserve">☑ </w:t>
            </w:r>
            <w:r>
              <w:rPr>
                <w:rFonts w:ascii="Arial" w:cs="Arial" w:hAnsi="Arial"/>
                <w:b/>
                <w:bCs/>
                <w:color w:val="1D2B36"/>
                <w:sz w:val="18"/>
                <w:szCs w:val="18"/>
                <w:rtl/>
              </w:rPr>
              <w:t xml:space="preserve">Others (أخرى):</w:t>
            </w:r>
            <w:r>
              <w:rPr>
                <w:rFonts w:ascii="Arial" w:cs="Arial" w:hAnsi="Arial"/>
                <w:color w:val="5B6E7C"/>
                <w:sz w:val="16"/>
                <w:szCs w:val="16"/>
                <w:rtl/>
              </w:rPr>
              <w:t xml:space="preserve"> رضا المستخدمين 94.7% · قياس منهجي لأثر التعلّم · قابلية التعميم</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pPr>
            <w:r>
              <w:rPr>
                <w:rFonts w:ascii="Arial" w:cs="Arial" w:hAnsi="Arial"/>
                <w:b/>
                <w:bCs/>
                <w:color w:val="1F4E9E"/>
                <w:sz w:val="18"/>
                <w:szCs w:val="18"/>
                <w:rtl/>
              </w:rPr>
              <w:t xml:space="preserve">Add Comments / Illustration – تعليق أو شرح</w:t>
            </w:r>
          </w:p>
          <w:p>
            <w:pPr>
              <w:bidi/>
              <w:spacing w:after="40" w:before="0" w:line="260"/>
              <w:jc w:val="both"/>
            </w:pPr>
            <w:r>
              <w:rPr>
                <w:rFonts w:ascii="Arial" w:cs="Arial" w:hAnsi="Arial"/>
                <w:color w:val="1D2B36"/>
                <w:sz w:val="18"/>
                <w:szCs w:val="18"/>
                <w:rtl/>
              </w:rPr>
              <w:t xml:space="preserve">تجسّد المبادرة مفهوم </w:t>
            </w:r>
            <w:r>
              <w:rPr>
                <w:rFonts w:ascii="Arial" w:cs="Arial" w:hAnsi="Arial"/>
                <w:b/>
                <w:bCs/>
                <w:color w:val="1D2B36"/>
                <w:sz w:val="18"/>
                <w:szCs w:val="18"/>
                <w:rtl/>
              </w:rPr>
              <w:t xml:space="preserve">الرعاية الصحية القائمة على القيمة (Value-Based Health Care)</w:t>
            </w:r>
            <w:r>
              <w:rPr>
                <w:rFonts w:ascii="Arial" w:cs="Arial" w:hAnsi="Arial"/>
                <w:color w:val="1D2B36"/>
                <w:sz w:val="18"/>
                <w:szCs w:val="18"/>
                <w:rtl/>
              </w:rPr>
              <w:t xml:space="preserve">؛ إذ القيمة = النتائج المتحققة ÷ تكلفة تحقيقها (Porter, 2010). فقد ارتفعت النتائج (إنجاز 100% وتحسّن معرفي +12.21 ن.م) مع خفض الجهد التشغيلي المتكرر، لأن المحتوى المسجّل يُنتَج مرة واحدة ويُعاد استخدامه دون تفريغ الكادر من المناوبات.</w:t>
            </w:r>
          </w:p>
        </w:tc>
      </w:tr>
      <w:tr>
        <w:trPr>
          <w:cantSplit/>
        </w:trPr>
        <w:tc>
          <w:tcPr>
            <w:tcW w:type="dxa" w:w="5906"/>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60" w:before="0" w:line="260"/>
            </w:pPr>
            <w:r>
              <w:rPr>
                <w:rFonts w:ascii="Arial" w:cs="Arial" w:hAnsi="Arial"/>
                <w:b/>
                <w:bCs/>
                <w:color w:val="0B3C5D"/>
                <w:sz w:val="20"/>
                <w:szCs w:val="20"/>
                <w:rtl/>
              </w:rPr>
              <w:t xml:space="preserve">صوت المستفيد (Voice of the Customer)</w:t>
            </w:r>
          </w:p>
          <w:p>
            <w:pPr>
              <w:bidi/>
              <w:spacing w:after="40" w:before="0" w:line="260"/>
              <w:jc w:val="both"/>
            </w:pPr>
            <w:r>
              <w:rPr>
                <w:rFonts w:ascii="Arial" w:cs="Arial" w:hAnsi="Arial"/>
                <w:color w:val="1D2B36"/>
                <w:sz w:val="18"/>
                <w:szCs w:val="18"/>
                <w:rtl/>
              </w:rPr>
              <w:t xml:space="preserve">قيّم المستخدمون المنصة في خمسة محاور بمتوسط عام </w:t>
            </w:r>
            <w:r>
              <w:rPr>
                <w:rFonts w:ascii="Arial" w:cs="Arial" w:hAnsi="Arial"/>
                <w:b/>
                <w:bCs/>
                <w:color w:val="1D2B36"/>
                <w:sz w:val="18"/>
                <w:szCs w:val="18"/>
                <w:rtl/>
              </w:rPr>
              <w:t xml:space="preserve">4.73 من 5</w:t>
            </w:r>
            <w:r>
              <w:rPr>
                <w:rFonts w:ascii="Arial" w:cs="Arial" w:hAnsi="Arial"/>
                <w:color w:val="1D2B36"/>
                <w:sz w:val="18"/>
                <w:szCs w:val="18"/>
                <w:rtl/>
              </w:rPr>
              <w:t xml:space="preserve">، وكانت جميع الإجابات «موافق» أو «موافق بشدة»، وحصل وضوح التصميم على الدرجة الكاملة (5.00).</w:t>
            </w:r>
          </w:p>
          <w:p>
            <w:pPr>
              <w:bidi/>
              <w:spacing w:after="40" w:before="0" w:line="260"/>
              <w:jc w:val="both"/>
            </w:pPr>
            <w:r>
              <w:rPr>
                <w:rFonts w:ascii="Arial" w:cs="Arial" w:hAnsi="Arial"/>
                <w:b/>
                <w:bCs/>
                <w:color w:val="0E8A8A"/>
                <w:sz w:val="18"/>
                <w:szCs w:val="18"/>
                <w:rtl/>
              </w:rPr>
              <w:t xml:space="preserve">«سهّلت علينا حضور المحاضرات في الأوقات التي تناسبنا حتى نركّز ونحصل على المعلومة بشكل واضح… استفدت منه أكثر من المحاضرات الأونلاين» – أحد المستخدمين</w:t>
            </w:r>
          </w:p>
          <w:p>
            <w:pPr>
              <w:bidi/>
              <w:spacing w:after="0" w:before="0" w:line="260"/>
              <w:jc w:val="both"/>
            </w:pPr>
            <w:r>
              <w:rPr>
                <w:rFonts w:ascii="Arial" w:cs="Arial" w:hAnsi="Arial"/>
                <w:color w:val="5B6E7C"/>
                <w:sz w:val="16"/>
                <w:szCs w:val="16"/>
                <w:rtl/>
              </w:rPr>
              <w:t xml:space="preserve">وُظِّفت الملاحظات (استئناف الفيديو، وسرعة التحميل، وقِصَر المقاطع، وطلب محتوى الأدوية) مدخلاتٍ للدورة التالية من التحسين.</w:t>
            </w:r>
          </w:p>
        </w:tc>
        <w:tc>
          <w:tcPr>
            <w:tcW w:type="dxa" w:w="44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spacing w:after="0"/>
              <w:jc w:val="center"/>
            </w:pPr>
            <w:r>
              <w:drawing>
                <wp:inline distT="0" distB="0" distL="0" distR="0">
                  <wp:extent cx="27146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14625" cy="1695450"/>
                          </a:xfrm>
                          <a:prstGeom prst="rect">
                            <a:avLst/>
                          </a:prstGeom>
                        </pic:spPr>
                      </pic:pic>
                    </a:graphicData>
                  </a:graphic>
                </wp:inline>
              </w:drawing>
            </w:r>
          </w:p>
        </w:tc>
      </w:tr>
      <w:tr>
        <w:trPr>
          <w:cantSplit/>
        </w:trPr>
        <w:tc>
          <w:tcPr>
            <w:tcW w:type="dxa" w:w="10306"/>
            <w:gridSpan w:val="2"/>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tbl>
            <w:tblPr>
              <w:bidiVisual/>
              <w:tblW w:type="dxa" w:w="10086"/>
              <w:tblBorders>
                <w:top w:val="single" w:color="auto" w:sz="4"/>
                <w:left w:val="single" w:color="auto" w:sz="4"/>
                <w:bottom w:val="single" w:color="auto" w:sz="4"/>
                <w:right w:val="single" w:color="auto" w:sz="4"/>
                <w:insideH w:val="single" w:color="auto" w:sz="4"/>
                <w:insideV w:val="single" w:color="auto" w:sz="4"/>
              </w:tblBorders>
            </w:tblPr>
            <w:tblGrid>
              <w:gridCol w:w="2100"/>
              <w:gridCol w:w="4300"/>
              <w:gridCol w:w="3686"/>
            </w:tblGrid>
            <w:tr>
              <w:trPr>
                <w:cantSplit/>
              </w:trPr>
              <w:tc>
                <w:tcPr>
                  <w:tcW w:type="dxa" w:w="210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بُعد الجودة (دليل المسابقة)</w:t>
                  </w:r>
                </w:p>
              </w:tc>
              <w:tc>
                <w:tcPr>
                  <w:tcW w:type="dxa" w:w="4300"/>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التحسن المتحقق</w:t>
                  </w:r>
                </w:p>
              </w:tc>
              <w:tc>
                <w:tcPr>
                  <w:tcW w:type="dxa" w:w="3686"/>
                  <w:tcBorders>
                    <w:top w:val="single" w:color="7F9DB5" w:sz="6"/>
                    <w:left w:val="single" w:color="7F9DB5" w:sz="6"/>
                    <w:bottom w:val="single" w:color="7F9DB5" w:sz="6"/>
                    <w:right w:val="single" w:color="7F9DB5" w:sz="6"/>
                  </w:tcBorders>
                  <w:shd w:fill="0B3C5D"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FFFFFF"/>
                      <w:sz w:val="17"/>
                      <w:szCs w:val="17"/>
                      <w:rtl/>
                    </w:rPr>
                    <w:t xml:space="preserve">الدليل / المقياس</w:t>
                  </w:r>
                </w:p>
              </w:tc>
            </w:tr>
            <w:tr>
              <w:trPr>
                <w:cantSplit/>
              </w:trPr>
              <w:tc>
                <w:tcPr>
                  <w:tcW w:type="dxa" w:w="2100"/>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الفاعلية (Effectiveness)</w:t>
                  </w:r>
                </w:p>
              </w:tc>
              <w:tc>
                <w:tcPr>
                  <w:tcW w:type="dxa" w:w="43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both"/>
                  </w:pPr>
                  <w:r>
                    <w:rPr>
                      <w:rFonts w:ascii="Arial" w:cs="Arial" w:hAnsi="Arial"/>
                      <w:color w:val="1D2B36"/>
                      <w:sz w:val="17"/>
                      <w:szCs w:val="17"/>
                      <w:rtl/>
                    </w:rPr>
                    <w:t xml:space="preserve">تحقيق كامل للمستهدفات الأكاديمية ورفع المعرفة التمريضية مع الاحتفاظ بها.</w:t>
                  </w:r>
                </w:p>
              </w:tc>
              <w:tc>
                <w:tcPr>
                  <w:tcW w:type="dxa" w:w="368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E8A8A"/>
                      <w:sz w:val="17"/>
                      <w:szCs w:val="17"/>
                      <w:rtl/>
                    </w:rPr>
                    <w:t xml:space="preserve">100% إنجاز · +12.21 ن.م · احتفاظ 85.68%</w:t>
                  </w:r>
                </w:p>
              </w:tc>
            </w:tr>
            <w:tr>
              <w:trPr>
                <w:cantSplit/>
              </w:trPr>
              <w:tc>
                <w:tcPr>
                  <w:tcW w:type="dxa" w:w="2100"/>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الكفاءة (Efficiency)</w:t>
                  </w:r>
                </w:p>
              </w:tc>
              <w:tc>
                <w:tcPr>
                  <w:tcW w:type="dxa" w:w="43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both"/>
                  </w:pPr>
                  <w:r>
                    <w:rPr>
                      <w:rFonts w:ascii="Arial" w:cs="Arial" w:hAnsi="Arial"/>
                      <w:color w:val="1D2B36"/>
                      <w:sz w:val="17"/>
                      <w:szCs w:val="17"/>
                      <w:rtl/>
                    </w:rPr>
                    <w:t xml:space="preserve">إنتاج المحتوى مرة واحدة وإعادة استخدامه لكل الكادر والموظفين الجدد، وإلغاء الحاجة إلى إعادة المحاضرات والتنسيق المتكرر لمواعيد البث.</w:t>
                  </w:r>
                </w:p>
              </w:tc>
              <w:tc>
                <w:tcPr>
                  <w:tcW w:type="dxa" w:w="368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E8A8A"/>
                      <w:sz w:val="17"/>
                      <w:szCs w:val="17"/>
                      <w:rtl/>
                    </w:rPr>
                    <w:t xml:space="preserve">خطة 2025: 106 جلسات لـ53 موضوعًا (نصفها تكرار) · للموضوعات الـ12: نحو 24 جلسة مباشرة سنويًا ← 5 محاضرات مسجلة (تقديري)</w:t>
                  </w:r>
                </w:p>
              </w:tc>
            </w:tr>
            <w:tr>
              <w:trPr>
                <w:cantSplit/>
              </w:trPr>
              <w:tc>
                <w:tcPr>
                  <w:tcW w:type="dxa" w:w="2100"/>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محورية المستفيد (Patient / Staff Centered)</w:t>
                  </w:r>
                </w:p>
              </w:tc>
              <w:tc>
                <w:tcPr>
                  <w:tcW w:type="dxa" w:w="43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both"/>
                  </w:pPr>
                  <w:r>
                    <w:rPr>
                      <w:rFonts w:ascii="Arial" w:cs="Arial" w:hAnsi="Arial"/>
                      <w:color w:val="1D2B36"/>
                      <w:sz w:val="17"/>
                      <w:szCs w:val="17"/>
                      <w:rtl/>
                    </w:rPr>
                    <w:t xml:space="preserve">تعلّم في الوقت المناسب لكل ممرض/ممرضة دون تعارض مع المناوبات وتغطية العيادات، ودون انقطاع الخدمة للمرضى.</w:t>
                  </w:r>
                </w:p>
              </w:tc>
              <w:tc>
                <w:tcPr>
                  <w:tcW w:type="dxa" w:w="368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E8A8A"/>
                      <w:sz w:val="17"/>
                      <w:szCs w:val="17"/>
                      <w:rtl/>
                    </w:rPr>
                    <w:t xml:space="preserve">رضا 4.73 من 5 (94.7%) · استخدام 81.8% (45/55)</w:t>
                  </w:r>
                </w:p>
              </w:tc>
            </w:tr>
            <w:tr>
              <w:trPr>
                <w:cantSplit/>
              </w:trPr>
              <w:tc>
                <w:tcPr>
                  <w:tcW w:type="dxa" w:w="2100"/>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center"/>
                </w:tcPr>
                <w:p>
                  <w:pPr>
                    <w:bidi/>
                    <w:spacing w:after="0" w:before="0" w:line="260"/>
                  </w:pPr>
                  <w:r>
                    <w:rPr>
                      <w:rFonts w:ascii="Arial" w:cs="Arial" w:hAnsi="Arial"/>
                      <w:b/>
                      <w:bCs/>
                      <w:color w:val="0B3C5D"/>
                      <w:sz w:val="17"/>
                      <w:szCs w:val="17"/>
                      <w:rtl/>
                    </w:rPr>
                    <w:t xml:space="preserve">السلامة (Safety) – غير مباشر</w:t>
                  </w:r>
                </w:p>
              </w:tc>
              <w:tc>
                <w:tcPr>
                  <w:tcW w:type="dxa" w:w="4300"/>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jc w:val="both"/>
                  </w:pPr>
                  <w:r>
                    <w:rPr>
                      <w:rFonts w:ascii="Arial" w:cs="Arial" w:hAnsi="Arial"/>
                      <w:color w:val="1D2B36"/>
                      <w:sz w:val="17"/>
                      <w:szCs w:val="17"/>
                      <w:rtl/>
                    </w:rPr>
                    <w:t xml:space="preserve">رفع الجاهزية المعرفية في مجالات ذات صلة بسلامة المرضى مثل العلاج الوريدي وتحليل الأسباب الجذرية.</w:t>
                  </w:r>
                </w:p>
              </w:tc>
              <w:tc>
                <w:tcPr>
                  <w:tcW w:type="dxa" w:w="3686"/>
                  <w:tcBorders>
                    <w:top w:val="single" w:color="7F9DB5" w:sz="6"/>
                    <w:left w:val="single" w:color="7F9DB5" w:sz="6"/>
                    <w:bottom w:val="single" w:color="7F9DB5" w:sz="6"/>
                    <w:right w:val="single" w:color="7F9DB5" w:sz="6"/>
                  </w:tcBorders>
                  <w:tcMar>
                    <w:top w:type="dxa" w:w="60"/>
                    <w:left w:type="dxa" w:w="100"/>
                    <w:bottom w:type="dxa" w:w="60"/>
                    <w:right w:type="dxa" w:w="100"/>
                  </w:tcMar>
                  <w:vAlign w:val="center"/>
                </w:tcPr>
                <w:p>
                  <w:pPr>
                    <w:bidi/>
                    <w:spacing w:after="0" w:before="0" w:line="260"/>
                  </w:pPr>
                  <w:r>
                    <w:rPr>
                      <w:rFonts w:ascii="Arial" w:cs="Arial" w:hAnsi="Arial"/>
                      <w:b/>
                      <w:bCs/>
                      <w:color w:val="0E8A8A"/>
                      <w:sz w:val="17"/>
                      <w:szCs w:val="17"/>
                      <w:rtl/>
                    </w:rPr>
                    <w:t xml:space="preserve">نتائج الاختبارات حسب الموضوع (أثر سريري غير مُقاس مباشرة)</w:t>
                  </w:r>
                </w:p>
              </w:tc>
            </w:tr>
          </w:tbl>
          <w:p/>
        </w:tc>
      </w:tr>
      <w:tr>
        <w:trPr>
          <w:cantSplit/>
        </w:trPr>
        <w:tc>
          <w:tcPr>
            <w:tcW w:type="dxa" w:w="10306"/>
            <w:gridSpan w:val="2"/>
            <w:tcBorders>
              <w:top w:val="single" w:color="7F9DB5" w:sz="6"/>
              <w:left w:val="single" w:color="7F9DB5" w:sz="6"/>
              <w:bottom w:val="single" w:color="7F9DB5" w:sz="6"/>
              <w:right w:val="single" w:color="7F9DB5" w:sz="6"/>
            </w:tcBorders>
            <w:shd w:fill="F3F8FB" w:color="auto" w:val="clear"/>
            <w:tcMar>
              <w:top w:type="dxa" w:w="60"/>
              <w:left w:type="dxa" w:w="100"/>
              <w:bottom w:type="dxa" w:w="60"/>
              <w:right w:type="dxa" w:w="100"/>
            </w:tcMar>
            <w:vAlign w:val="top"/>
          </w:tcPr>
          <w:p>
            <w:pPr>
              <w:bidi/>
              <w:spacing w:after="20" w:before="0" w:line="260"/>
            </w:pPr>
            <w:r>
              <w:rPr>
                <w:rFonts w:ascii="Arial" w:cs="Arial" w:hAnsi="Arial"/>
                <w:b/>
                <w:bCs/>
                <w:color w:val="0B3C5D"/>
                <w:sz w:val="16"/>
                <w:szCs w:val="16"/>
                <w:rtl/>
              </w:rPr>
              <w:t xml:space="preserve">الأسس العلمية والمرجعية</w:t>
            </w:r>
          </w:p>
          <w:p>
            <w:pPr>
              <w:spacing w:after="0" w:line="220"/>
              <w:jc w:val="left"/>
            </w:pPr>
            <w:r>
              <w:rPr>
                <w:rFonts w:ascii="Arial" w:cs="Arial" w:eastAsia="Arial" w:hAnsi="Arial"/>
                <w:color w:val="44556A"/>
                <w:sz w:val="14"/>
                <w:szCs w:val="14"/>
              </w:rPr>
              <w:t xml:space="preserve">1. Batalden PB, Stoltz PK. A framework for the continual improvement of health care. Jt Comm J Qual Improv. 1993;19(10):432-452.</w:t>
            </w:r>
          </w:p>
          <w:p>
            <w:pPr>
              <w:spacing w:after="0" w:line="220"/>
              <w:jc w:val="left"/>
            </w:pPr>
            <w:r>
              <w:rPr>
                <w:rFonts w:ascii="Arial" w:cs="Arial" w:eastAsia="Arial" w:hAnsi="Arial"/>
                <w:color w:val="44556A"/>
                <w:sz w:val="14"/>
                <w:szCs w:val="14"/>
              </w:rPr>
              <w:t xml:space="preserve">2. Langley GJ, Moen RD, Nolan KM, et al. The Improvement Guide. 2nd ed. San Francisco: Jossey-Bass; 2009.</w:t>
            </w:r>
          </w:p>
          <w:p>
            <w:pPr>
              <w:spacing w:after="0" w:line="220"/>
              <w:jc w:val="left"/>
            </w:pPr>
            <w:r>
              <w:rPr>
                <w:rFonts w:ascii="Arial" w:cs="Arial" w:eastAsia="Arial" w:hAnsi="Arial"/>
                <w:color w:val="44556A"/>
                <w:sz w:val="14"/>
                <w:szCs w:val="14"/>
              </w:rPr>
              <w:t xml:space="preserve">3. Institute of Medicine. Crossing the Quality Chasm: A New Health System for the 21st Century. Washington, DC: National Academies Press; 2001.</w:t>
            </w:r>
          </w:p>
          <w:p>
            <w:pPr>
              <w:spacing w:after="0" w:line="220"/>
              <w:jc w:val="left"/>
            </w:pPr>
            <w:r>
              <w:rPr>
                <w:rFonts w:ascii="Arial" w:cs="Arial" w:eastAsia="Arial" w:hAnsi="Arial"/>
                <w:color w:val="44556A"/>
                <w:sz w:val="14"/>
                <w:szCs w:val="14"/>
              </w:rPr>
              <w:t xml:space="preserve">4. Porter ME. What is value in health care? N Engl J Med. 2010;363(26):2477-2481.</w:t>
            </w:r>
          </w:p>
          <w:p>
            <w:pPr>
              <w:spacing w:after="0" w:line="220"/>
              <w:jc w:val="left"/>
            </w:pPr>
            <w:r>
              <w:rPr>
                <w:rFonts w:ascii="Arial" w:cs="Arial" w:eastAsia="Arial" w:hAnsi="Arial"/>
                <w:color w:val="44556A"/>
                <w:sz w:val="14"/>
                <w:szCs w:val="14"/>
              </w:rPr>
              <w:t xml:space="preserve">5. Kirkpatrick DL, Kirkpatrick JD. Evaluating Training Programs: The Four Levels. 3rd ed. San Francisco: Berrett-Koehler; 2006.</w:t>
            </w:r>
          </w:p>
          <w:p>
            <w:pPr>
              <w:spacing w:after="0" w:line="220"/>
              <w:jc w:val="left"/>
            </w:pPr>
            <w:r>
              <w:rPr>
                <w:rFonts w:ascii="Arial" w:cs="Arial" w:eastAsia="Arial" w:hAnsi="Arial"/>
                <w:color w:val="44556A"/>
                <w:sz w:val="14"/>
                <w:szCs w:val="14"/>
              </w:rPr>
              <w:t xml:space="preserve">6. Liu Q, Peng W, Zhang F, et al. The effectiveness of blended learning in health professions: systematic review and meta-analysis. J Med Internet Res. 2016;18(1):e2.</w:t>
            </w:r>
          </w:p>
          <w:p>
            <w:pPr>
              <w:spacing w:after="0" w:line="220"/>
              <w:jc w:val="left"/>
            </w:pPr>
            <w:r>
              <w:rPr>
                <w:rFonts w:ascii="Arial" w:cs="Arial" w:eastAsia="Arial" w:hAnsi="Arial"/>
                <w:color w:val="44556A"/>
                <w:sz w:val="14"/>
                <w:szCs w:val="14"/>
              </w:rPr>
              <w:t xml:space="preserve">7. Provost LP, Murray SK. The Health Care Data Guide: Learning from Data for Improvement. San Francisco: Jossey-Bass; 2011.</w:t>
            </w:r>
          </w:p>
        </w:tc>
      </w:tr>
    </w:tbl>
    <w:p>
      <w:pPr>
        <w:bidi/>
        <w:spacing w:after="60" w:before="0" w:line="260"/>
      </w:pPr>
      <w:r>
        <w:rPr>
          <w:rFonts w:ascii="Arial" w:cs="Arial" w:hAnsi="Arial"/>
          <w:color w:val="1D2B36"/>
          <w:sz w:val="18"/>
          <w:szCs w:val="18"/>
          <w:rtl/>
        </w:rPr>
        <w:t xml:space="preserve"/>
      </w:r>
    </w:p>
    <w:tbl>
      <w:tblPr>
        <w:bidiVisual/>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5153"/>
      </w:tblGrid>
      <w:tr>
        <w:trPr>
          <w:cantSplit/>
        </w:trPr>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Project Lead Team Members</w:t>
            </w:r>
          </w:p>
          <w:p>
            <w:pPr>
              <w:bidi/>
              <w:spacing w:after="0" w:before="0" w:line="260"/>
              <w:jc w:val="center"/>
            </w:pPr>
            <w:r>
              <w:rPr>
                <w:rFonts w:ascii="Arial" w:cs="Arial" w:hAnsi="Arial"/>
                <w:b/>
                <w:bCs/>
                <w:color w:val="0B3C5D"/>
                <w:sz w:val="17"/>
                <w:szCs w:val="17"/>
                <w:rtl/>
              </w:rPr>
              <w:t xml:space="preserve">قائد الفريق</w:t>
            </w:r>
          </w:p>
        </w:tc>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Team Members</w:t>
            </w:r>
          </w:p>
          <w:p>
            <w:pPr>
              <w:bidi/>
              <w:spacing w:after="0" w:before="0" w:line="260"/>
              <w:jc w:val="center"/>
            </w:pPr>
            <w:r>
              <w:rPr>
                <w:rFonts w:ascii="Arial" w:cs="Arial" w:hAnsi="Arial"/>
                <w:b/>
                <w:bCs/>
                <w:color w:val="0B3C5D"/>
                <w:sz w:val="17"/>
                <w:szCs w:val="17"/>
                <w:rtl/>
              </w:rPr>
              <w:t xml:space="preserve">أعضاء الفريق</w:t>
            </w:r>
          </w:p>
        </w:tc>
      </w:tr>
      <w:tr>
        <w:trPr>
          <w:cantSplit/>
        </w:trPr>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pPr>
            <w:r>
              <w:rPr>
                <w:rFonts w:ascii="Arial" w:cs="Arial" w:hAnsi="Arial"/>
                <w:b/>
                <w:bCs/>
                <w:color w:val="1D2B36"/>
                <w:sz w:val="18"/>
                <w:szCs w:val="18"/>
                <w:rtl/>
              </w:rPr>
              <w:t xml:space="preserve">مشرفة التدريب والتعليم التمريضي – قائدة المشروع</w:t>
            </w:r>
          </w:p>
          <w:p>
            <w:pPr>
              <w:bidi/>
              <w:spacing w:after="40" w:before="0" w:line="260"/>
            </w:pPr>
            <w:r>
              <w:rPr>
                <w:rFonts w:ascii="Arial" w:cs="Arial" w:hAnsi="Arial"/>
                <w:color w:val="1D2B36"/>
                <w:sz w:val="18"/>
                <w:szCs w:val="18"/>
                <w:rtl/>
              </w:rPr>
              <w:t xml:space="preserve">الاسم: ..................................................</w:t>
            </w:r>
          </w:p>
        </w:tc>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40" w:before="0" w:line="260"/>
            </w:pPr>
            <w:r>
              <w:rPr>
                <w:rFonts w:ascii="Arial" w:cs="Arial" w:hAnsi="Arial"/>
                <w:color w:val="1D2B36"/>
                <w:sz w:val="18"/>
                <w:szCs w:val="18"/>
                <w:rtl/>
              </w:rPr>
              <w:t xml:space="preserve">1. المطوّر التقني – برمجة المنصة الإلكترونية (دور داعم)</w:t>
            </w:r>
          </w:p>
          <w:p>
            <w:pPr>
              <w:bidi/>
              <w:spacing w:after="40" w:before="0" w:line="260"/>
            </w:pPr>
            <w:r>
              <w:rPr>
                <w:rFonts w:ascii="Arial" w:cs="Arial" w:hAnsi="Arial"/>
                <w:color w:val="1D2B36"/>
                <w:sz w:val="18"/>
                <w:szCs w:val="18"/>
                <w:rtl/>
              </w:rPr>
              <w:t xml:space="preserve">2. ..................................................</w:t>
            </w:r>
          </w:p>
        </w:tc>
      </w:tr>
      <w:tr>
        <w:trPr>
          <w:cantSplit/>
        </w:trPr>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Hospital Manager's Name</w:t>
            </w:r>
          </w:p>
          <w:p>
            <w:pPr>
              <w:bidi/>
              <w:spacing w:after="0" w:before="0" w:line="260"/>
              <w:jc w:val="center"/>
            </w:pPr>
            <w:r>
              <w:rPr>
                <w:rFonts w:ascii="Arial" w:cs="Arial" w:hAnsi="Arial"/>
                <w:b/>
                <w:bCs/>
                <w:color w:val="0B3C5D"/>
                <w:sz w:val="17"/>
                <w:szCs w:val="17"/>
                <w:rtl/>
              </w:rPr>
              <w:t xml:space="preserve">مدير المستشفى / الجهة</w:t>
            </w:r>
          </w:p>
        </w:tc>
        <w:tc>
          <w:tcPr>
            <w:tcW w:type="dxa" w:w="5153"/>
            <w:tcBorders>
              <w:top w:val="single" w:color="7F9DB5" w:sz="6"/>
              <w:left w:val="single" w:color="7F9DB5" w:sz="6"/>
              <w:bottom w:val="single" w:color="7F9DB5" w:sz="6"/>
              <w:right w:val="single" w:color="7F9DB5" w:sz="6"/>
            </w:tcBorders>
            <w:shd w:fill="00A3E0" w:color="auto" w:val="clear"/>
            <w:tcMar>
              <w:top w:type="dxa" w:w="60"/>
              <w:left w:type="dxa" w:w="100"/>
              <w:bottom w:type="dxa" w:w="60"/>
              <w:right w:type="dxa" w:w="100"/>
            </w:tcMar>
            <w:vAlign w:val="center"/>
          </w:tcPr>
          <w:p>
            <w:pPr>
              <w:bidi/>
              <w:spacing w:after="0" w:before="0" w:line="260"/>
              <w:jc w:val="center"/>
            </w:pPr>
            <w:r>
              <w:rPr>
                <w:rFonts w:ascii="Arial" w:cs="Arial" w:hAnsi="Arial"/>
                <w:b/>
                <w:bCs/>
                <w:color w:val="0B3C5D"/>
                <w:sz w:val="18"/>
                <w:szCs w:val="18"/>
                <w:rtl/>
              </w:rPr>
              <w:t xml:space="preserve">Approval / Signature</w:t>
            </w:r>
          </w:p>
          <w:p>
            <w:pPr>
              <w:bidi/>
              <w:spacing w:after="0" w:before="0" w:line="260"/>
              <w:jc w:val="center"/>
            </w:pPr>
            <w:r>
              <w:rPr>
                <w:rFonts w:ascii="Arial" w:cs="Arial" w:hAnsi="Arial"/>
                <w:b/>
                <w:bCs/>
                <w:color w:val="0B3C5D"/>
                <w:sz w:val="17"/>
                <w:szCs w:val="17"/>
                <w:rtl/>
              </w:rPr>
              <w:t xml:space="preserve">الاعتماد / التوقيع</w:t>
            </w:r>
          </w:p>
        </w:tc>
      </w:tr>
      <w:tr>
        <w:trPr>
          <w:cantSplit/>
        </w:trPr>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160" w:before="160" w:line="260"/>
            </w:pPr>
            <w:r>
              <w:rPr>
                <w:rFonts w:ascii="Arial" w:cs="Arial" w:hAnsi="Arial"/>
                <w:color w:val="1D2B36"/>
                <w:sz w:val="18"/>
                <w:szCs w:val="18"/>
                <w:rtl/>
              </w:rPr>
              <w:t xml:space="preserve">..................................................</w:t>
            </w:r>
          </w:p>
        </w:tc>
        <w:tc>
          <w:tcPr>
            <w:tcW w:type="dxa" w:w="5153"/>
            <w:tcBorders>
              <w:top w:val="single" w:color="7F9DB5" w:sz="6"/>
              <w:left w:val="single" w:color="7F9DB5" w:sz="6"/>
              <w:bottom w:val="single" w:color="7F9DB5" w:sz="6"/>
              <w:right w:val="single" w:color="7F9DB5" w:sz="6"/>
            </w:tcBorders>
            <w:tcMar>
              <w:top w:type="dxa" w:w="60"/>
              <w:left w:type="dxa" w:w="100"/>
              <w:bottom w:type="dxa" w:w="60"/>
              <w:right w:type="dxa" w:w="100"/>
            </w:tcMar>
            <w:vAlign w:val="top"/>
          </w:tcPr>
          <w:p>
            <w:pPr>
              <w:bidi/>
              <w:spacing w:after="160" w:before="160" w:line="260"/>
            </w:pPr>
            <w:r>
              <w:rPr>
                <w:rFonts w:ascii="Arial" w:cs="Arial" w:hAnsi="Arial"/>
                <w:color w:val="1D2B36"/>
                <w:sz w:val="18"/>
                <w:szCs w:val="18"/>
                <w:rtl/>
              </w:rPr>
              <w:t xml:space="preserve">..................................................</w:t>
            </w:r>
          </w:p>
        </w:tc>
      </w:tr>
    </w:tbl>
    <w:sectPr>
      <w:headerReference w:type="default" r:id="rId7"/>
      <w:pgSz w:w="11906" w:h="16838" w:orient="portrait"/>
      <w:pgMar w:top="2700" w:right="800" w:bottom="1250" w:left="800" w:header="300"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f66ceabdbb312dccda9d8c0488ddbf052e8f14d.png"/><Relationship Id="rId9" Type="http://schemas.openxmlformats.org/officeDocument/2006/relationships/image" Target="media/adbcecec940ddd4698a5ea543b46136e6795c8ec.png"/><Relationship Id="rId10" Type="http://schemas.openxmlformats.org/officeDocument/2006/relationships/image" Target="media/cf39c89cdf29eff1f78377f429d7e7620e303873.png"/><Relationship Id="rId11" Type="http://schemas.openxmlformats.org/officeDocument/2006/relationships/image" Target="media/e5744269a3381a3efc8012b70908a22a5546c0dd.png"/><Relationship Id="rId12" Type="http://schemas.openxmlformats.org/officeDocument/2006/relationships/image" Target="media/3d9f575233b6c189ba772a21cead63ac1427384b.png"/><Relationship Id="rId13" Type="http://schemas.openxmlformats.org/officeDocument/2006/relationships/image" Target="media/0c4138774e889c2ed91d523deba5c30a414c5aeb.png"/><Relationship Id="rId14" Type="http://schemas.openxmlformats.org/officeDocument/2006/relationships/image" Target="media/ef48e0c57b195e3d2f5dba88dea496641cf8ecaa.png"/><Relationship Id="rId15" Type="http://schemas.openxmlformats.org/officeDocument/2006/relationships/image" Target="media/f37b934d9f8de558e8b539bcc621940ddc1c074d.png"/><Relationship Id="rId16" Type="http://schemas.openxmlformats.org/officeDocument/2006/relationships/image" Target="media/70daa5cd9ac078e265ded2bb15d8bac9e0f9c30c.png"/><Relationship Id="rId17" Type="http://schemas.openxmlformats.org/officeDocument/2006/relationships/image" Target="media/6d4daeb38ffe37431229e4e04b735976216c882c.png"/><Relationship Id="rId18" Type="http://schemas.openxmlformats.org/officeDocument/2006/relationships/image" Target="media/13161d2e0a666806114735ebbde6ed05ce0992ab.png"/><Relationship Id="rId19" Type="http://schemas.openxmlformats.org/officeDocument/2006/relationships/image" Target="media/f4a4fbe5f9fcafac0c5f5f0956bb43f823e07cab.png"/><Relationship Id="rId20" Type="http://schemas.openxmlformats.org/officeDocument/2006/relationships/image" Target="media/e6eb57def2db11e9d22c1d350268213f1764b2c5.png"/><Relationship Id="rId21" Type="http://schemas.openxmlformats.org/officeDocument/2006/relationships/image" Target="media/ee221de0244f70b6a604146564f4b5962dd368c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8c37f177f9a821a73f013242ba398f611c96ca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2026-10-25T21:48:41.909Z</dcterms:created>
  <dcterms:modified xsi:type="dcterms:W3CDTF">2026-10-25T21:48:41.909Z</dcterms:modified>
</cp:coreProperties>
</file>

<file path=docProps/custom.xml><?xml version="1.0" encoding="utf-8"?>
<Properties xmlns="http://schemas.openxmlformats.org/officeDocument/2006/custom-properties" xmlns:vt="http://schemas.openxmlformats.org/officeDocument/2006/docPropsVTypes"/>
</file>