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0" w:line="260"/>
        <w:jc w:val="center"/>
      </w:pPr>
      <w:r>
        <w:rPr>
          <w:rFonts w:ascii="Arial" w:cs="Arial" w:hAnsi="Arial"/>
          <w:b/>
          <w:bCs/>
          <w:color w:val="0B3C5D"/>
          <w:sz w:val="32"/>
          <w:szCs w:val="32"/>
          <w:rtl/>
        </w:rPr>
        <w:t xml:space="preserve">مسابقة التميز بجودة خدمات الرعاية الصحية</w:t>
      </w:r>
    </w:p>
    <w:p>
      <w:pPr>
        <w:bidi/>
        <w:spacing w:after="20" w:before="0" w:line="260"/>
        <w:jc w:val="center"/>
      </w:pPr>
      <w:r>
        <w:rPr>
          <w:rFonts w:ascii="Arial" w:cs="Arial" w:hAnsi="Arial"/>
          <w:b/>
          <w:bCs/>
          <w:color w:val="1D2B36"/>
          <w:sz w:val="20"/>
          <w:szCs w:val="20"/>
          <w:rtl/>
        </w:rPr>
        <w:t xml:space="preserve">Performance Improvement Project – 2026     </w:t>
      </w:r>
      <w:r>
        <w:rPr>
          <w:rFonts w:ascii="Arial" w:cs="Arial" w:hAnsi="Arial"/>
          <w:b/>
          <w:bCs/>
          <w:color w:val="1D2B36"/>
          <w:sz w:val="20"/>
          <w:szCs w:val="20"/>
          <w:rtl/>
        </w:rPr>
        <w:t xml:space="preserve">مشروعات تحسين الأداء 2026</w:t>
      </w:r>
    </w:p>
    <w:p>
      <w:pPr>
        <w:bidi/>
        <w:spacing w:after="20" w:before="0" w:line="260"/>
        <w:jc w:val="center"/>
      </w:pPr>
      <w:r>
        <w:rPr>
          <w:rFonts w:ascii="Arial" w:cs="Arial" w:hAnsi="Arial"/>
          <w:b/>
          <w:bCs/>
          <w:color w:val="1F4E9E"/>
          <w:sz w:val="18"/>
          <w:szCs w:val="18"/>
          <w:u w:val="single"/>
          <w:rtl/>
        </w:rPr>
        <w:t xml:space="preserve">(Only Completed Projects)   </w:t>
      </w:r>
      <w:r>
        <w:rPr>
          <w:rFonts w:ascii="Arial" w:cs="Arial" w:hAnsi="Arial"/>
          <w:b/>
          <w:bCs/>
          <w:color w:val="1F4E9E"/>
          <w:sz w:val="18"/>
          <w:szCs w:val="18"/>
          <w:u w:val="single"/>
          <w:rtl/>
        </w:rPr>
        <w:t xml:space="preserve">(فقط المشروعات المكتملة)</w:t>
      </w:r>
    </w:p>
    <w:p>
      <w:pPr>
        <w:bidi/>
        <w:spacing w:after="100" w:before="0" w:line="260"/>
        <w:jc w:val="center"/>
      </w:pPr>
      <w:r>
        <w:rPr>
          <w:rFonts w:ascii="Arial" w:cs="Arial" w:hAnsi="Arial"/>
          <w:b/>
          <w:bCs/>
          <w:color w:val="0E8A8A"/>
          <w:sz w:val="16"/>
          <w:szCs w:val="16"/>
          <w:rtl/>
        </w:rPr>
        <w:t xml:space="preserve">الأسبوع العالمي للجودة 2026: «الجودة .. محرك الأداء» – Quality .. Powering Performance</w:t>
      </w: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gridCol w:w="2576"/>
        <w:gridCol w:w="2576"/>
      </w:tblGrid>
      <w:tr>
        <w:trPr>
          <w:cantSplit/>
        </w:trPr>
        <w:tc>
          <w:tcPr>
            <w:tcW w:type="dxa" w:w="2576"/>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Hospital Name</w:t>
            </w:r>
          </w:p>
          <w:p>
            <w:pPr>
              <w:bidi/>
              <w:spacing w:after="0" w:before="0" w:line="260"/>
              <w:jc w:val="center"/>
            </w:pPr>
            <w:r>
              <w:rPr>
                <w:rFonts w:ascii="Arial" w:cs="Arial" w:hAnsi="Arial"/>
                <w:b/>
                <w:bCs/>
                <w:color w:val="0B3C5D"/>
                <w:sz w:val="17"/>
                <w:szCs w:val="17"/>
                <w:rtl/>
              </w:rPr>
              <w:t xml:space="preserve">اسم المستشفى / الجهة</w:t>
            </w:r>
          </w:p>
        </w:tc>
        <w:tc>
          <w:tcPr>
            <w:tcW w:type="dxa" w:w="2576"/>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Project Title</w:t>
            </w:r>
          </w:p>
          <w:p>
            <w:pPr>
              <w:bidi/>
              <w:spacing w:after="0" w:before="0" w:line="260"/>
              <w:jc w:val="center"/>
            </w:pPr>
            <w:r>
              <w:rPr>
                <w:rFonts w:ascii="Arial" w:cs="Arial" w:hAnsi="Arial"/>
                <w:b/>
                <w:bCs/>
                <w:color w:val="0B3C5D"/>
                <w:sz w:val="17"/>
                <w:szCs w:val="17"/>
                <w:rtl/>
              </w:rPr>
              <w:t xml:space="preserve">مسمى المشروع</w:t>
            </w:r>
          </w:p>
        </w:tc>
        <w:tc>
          <w:tcPr>
            <w:tcW w:type="dxa" w:w="2576"/>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Department Owner</w:t>
            </w:r>
          </w:p>
          <w:p>
            <w:pPr>
              <w:bidi/>
              <w:spacing w:after="0" w:before="0" w:line="260"/>
              <w:jc w:val="center"/>
            </w:pPr>
            <w:r>
              <w:rPr>
                <w:rFonts w:ascii="Arial" w:cs="Arial" w:hAnsi="Arial"/>
                <w:b/>
                <w:bCs/>
                <w:color w:val="0B3C5D"/>
                <w:sz w:val="17"/>
                <w:szCs w:val="17"/>
                <w:rtl/>
              </w:rPr>
              <w:t xml:space="preserve">(القسم المسؤول)</w:t>
            </w:r>
          </w:p>
        </w:tc>
        <w:tc>
          <w:tcPr>
            <w:tcW w:type="dxa" w:w="2576"/>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Department Contributed</w:t>
            </w:r>
          </w:p>
          <w:p>
            <w:pPr>
              <w:bidi/>
              <w:spacing w:after="0" w:before="0" w:line="260"/>
              <w:jc w:val="center"/>
            </w:pPr>
            <w:r>
              <w:rPr>
                <w:rFonts w:ascii="Arial" w:cs="Arial" w:hAnsi="Arial"/>
                <w:b/>
                <w:bCs/>
                <w:color w:val="0B3C5D"/>
                <w:sz w:val="17"/>
                <w:szCs w:val="17"/>
                <w:rtl/>
              </w:rPr>
              <w:t xml:space="preserve">(الأقسام المشاركة)</w:t>
            </w:r>
          </w:p>
        </w:tc>
      </w:tr>
      <w:tr>
        <w:trPr>
          <w:cantSplit/>
        </w:trPr>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pPr>
            <w:r>
              <w:rPr>
                <w:rFonts w:ascii="Arial" w:cs="Arial" w:hAnsi="Arial"/>
                <w:b/>
                <w:bCs/>
                <w:color w:val="1D2B36"/>
                <w:sz w:val="18"/>
                <w:szCs w:val="18"/>
                <w:rtl/>
              </w:rPr>
              <w:t xml:space="preserve">قطاع الصحة العامة بالبكيرية</w:t>
            </w:r>
          </w:p>
          <w:p>
            <w:pPr>
              <w:bidi/>
              <w:spacing w:after="40" w:before="0" w:line="260"/>
            </w:pPr>
            <w:r>
              <w:rPr>
                <w:rFonts w:ascii="Arial" w:cs="Arial" w:hAnsi="Arial"/>
                <w:color w:val="1D2B36"/>
                <w:sz w:val="18"/>
                <w:szCs w:val="18"/>
                <w:rtl/>
              </w:rPr>
              <w:t xml:space="preserve">تجمع القصيم الصحي</w:t>
            </w:r>
          </w:p>
        </w:tc>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pPr>
            <w:r>
              <w:rPr>
                <w:rFonts w:ascii="Arial" w:cs="Arial" w:hAnsi="Arial"/>
                <w:b/>
                <w:bCs/>
                <w:color w:val="0B3C5D"/>
                <w:sz w:val="18"/>
                <w:szCs w:val="18"/>
                <w:rtl/>
              </w:rPr>
              <w:t xml:space="preserve">تحسين جودة وكفاءة التدريب التمريضي من خلال التحول الرقمي والتعلّم المدمج بمراكز الرعاية الصحية الأولية</w:t>
            </w:r>
          </w:p>
        </w:tc>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pPr>
            <w:r>
              <w:rPr>
                <w:rFonts w:ascii="Arial" w:cs="Arial" w:hAnsi="Arial"/>
                <w:b/>
                <w:bCs/>
                <w:color w:val="1D2B36"/>
                <w:sz w:val="18"/>
                <w:szCs w:val="18"/>
                <w:rtl/>
              </w:rPr>
              <w:t xml:space="preserve">التدريب والتعليم التمريضي</w:t>
            </w:r>
          </w:p>
        </w:tc>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pPr>
            <w:r>
              <w:rPr>
                <w:rFonts w:ascii="Arial" w:cs="Arial" w:hAnsi="Arial"/>
                <w:color w:val="1D2B36"/>
                <w:sz w:val="18"/>
                <w:szCs w:val="18"/>
                <w:rtl/>
              </w:rPr>
              <w:t xml:space="preserve">• الدعم التقني: برمجة المنصة الإلكترونية</w:t>
            </w:r>
          </w:p>
          <w:p>
            <w:pPr>
              <w:bidi/>
              <w:spacing w:after="40" w:before="0" w:line="260"/>
            </w:pPr>
            <w:r>
              <w:rPr>
                <w:rFonts w:ascii="Arial" w:cs="Arial" w:hAnsi="Arial"/>
                <w:color w:val="1D2B36"/>
                <w:sz w:val="18"/>
                <w:szCs w:val="18"/>
                <w:rtl/>
              </w:rPr>
              <w:t xml:space="preserve">• المراكز الصحية العشرة: التطبيق والورش التطبيقية</w:t>
            </w:r>
          </w:p>
        </w:tc>
      </w:tr>
      <w:tr>
        <w:trPr>
          <w:cantSplit/>
        </w:trPr>
        <w:tc>
          <w:tcPr>
            <w:tcW w:type="dxa" w:w="257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Project Dimension(S)</w:t>
            </w:r>
          </w:p>
          <w:p>
            <w:pPr>
              <w:bidi/>
              <w:spacing w:after="0" w:before="0" w:line="260"/>
              <w:jc w:val="center"/>
            </w:pPr>
            <w:r>
              <w:rPr>
                <w:rFonts w:ascii="Arial" w:cs="Arial" w:hAnsi="Arial"/>
                <w:b/>
                <w:bCs/>
                <w:color w:val="0B3C5D"/>
                <w:sz w:val="17"/>
                <w:szCs w:val="17"/>
                <w:rtl/>
              </w:rPr>
              <w:t xml:space="preserve">(اختصاص المشروع)</w:t>
            </w:r>
          </w:p>
        </w:tc>
        <w:tc>
          <w:tcPr>
            <w:tcW w:type="dxa" w:w="257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Project Duration</w:t>
            </w:r>
          </w:p>
          <w:p>
            <w:pPr>
              <w:bidi/>
              <w:spacing w:after="0" w:before="0" w:line="260"/>
              <w:jc w:val="center"/>
            </w:pPr>
            <w:r>
              <w:rPr>
                <w:rFonts w:ascii="Arial" w:cs="Arial" w:hAnsi="Arial"/>
                <w:b/>
                <w:bCs/>
                <w:color w:val="0B3C5D"/>
                <w:sz w:val="17"/>
                <w:szCs w:val="17"/>
                <w:rtl/>
              </w:rPr>
              <w:t xml:space="preserve">(مدة المشروع)</w:t>
            </w:r>
          </w:p>
        </w:tc>
        <w:tc>
          <w:tcPr>
            <w:tcW w:type="dxa" w:w="257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Project Start Date</w:t>
            </w:r>
          </w:p>
          <w:p>
            <w:pPr>
              <w:bidi/>
              <w:spacing w:after="0" w:before="0" w:line="260"/>
              <w:jc w:val="center"/>
            </w:pPr>
            <w:r>
              <w:rPr>
                <w:rFonts w:ascii="Arial" w:cs="Arial" w:hAnsi="Arial"/>
                <w:b/>
                <w:bCs/>
                <w:color w:val="0B3C5D"/>
                <w:sz w:val="17"/>
                <w:szCs w:val="17"/>
                <w:rtl/>
              </w:rPr>
              <w:t xml:space="preserve">(تاريخ بداية المشروع)</w:t>
            </w:r>
          </w:p>
        </w:tc>
        <w:tc>
          <w:tcPr>
            <w:tcW w:type="dxa" w:w="257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Project End Date</w:t>
            </w:r>
          </w:p>
          <w:p>
            <w:pPr>
              <w:bidi/>
              <w:spacing w:after="0" w:before="0" w:line="260"/>
              <w:jc w:val="center"/>
            </w:pPr>
            <w:r>
              <w:rPr>
                <w:rFonts w:ascii="Arial" w:cs="Arial" w:hAnsi="Arial"/>
                <w:b/>
                <w:bCs/>
                <w:color w:val="0B3C5D"/>
                <w:sz w:val="17"/>
                <w:szCs w:val="17"/>
                <w:rtl/>
              </w:rPr>
              <w:t xml:space="preserve">(تاريخ نهاية المشروع)</w:t>
            </w:r>
          </w:p>
        </w:tc>
      </w:tr>
      <w:tr>
        <w:trPr>
          <w:cantSplit/>
        </w:trPr>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20" w:before="0" w:line="260"/>
            </w:pPr>
            <w:r>
              <w:rPr>
                <w:rFonts w:ascii="Arial" w:cs="Arial" w:hAnsi="Arial"/>
                <w:b/>
                <w:bCs/>
                <w:color w:val="7F8C8D"/>
                <w:sz w:val="18"/>
                <w:szCs w:val="18"/>
                <w:rtl/>
              </w:rPr>
              <w:t xml:space="preserve">☐ </w:t>
            </w:r>
            <w:r>
              <w:rPr>
                <w:rFonts w:ascii="Arial" w:cs="Arial" w:hAnsi="Arial"/>
                <w:b w:val="false"/>
                <w:color w:val="1D2B36"/>
                <w:sz w:val="18"/>
                <w:szCs w:val="18"/>
                <w:rtl/>
              </w:rPr>
              <w:t xml:space="preserve">Safety (السلامة)</w:t>
            </w:r>
            <w:r>
              <w:rPr>
                <w:rFonts w:ascii="Arial" w:cs="Arial" w:hAnsi="Arial"/>
                <w:color w:val="5B6E7C"/>
                <w:sz w:val="16"/>
                <w:szCs w:val="16"/>
                <w:rtl/>
              </w:rPr>
              <w:t xml:space="preserve"> – أثر غير مباشر</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Effectiveness (الفاعلية)</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Efficiency (الكفاءة)</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Beneficiary Centered</w:t>
            </w:r>
            <w:r>
              <w:rPr>
                <w:rFonts w:ascii="Arial" w:cs="Arial" w:hAnsi="Arial"/>
                <w:color w:val="5B6E7C"/>
                <w:sz w:val="16"/>
                <w:szCs w:val="16"/>
                <w:rtl/>
              </w:rPr>
              <w:t xml:space="preserve"> (محورية المستفيد: الكادر كمستفيد داخلي)</w:t>
            </w:r>
          </w:p>
        </w:tc>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jc w:val="center"/>
            </w:pPr>
            <w:r>
              <w:rPr>
                <w:rFonts w:ascii="Arial" w:cs="Arial" w:hAnsi="Arial"/>
                <w:b/>
                <w:bCs/>
                <w:color w:val="0B3C5D"/>
                <w:sz w:val="22"/>
                <w:szCs w:val="22"/>
                <w:rtl/>
              </w:rPr>
              <w:t xml:space="preserve">8 أشهر</w:t>
            </w:r>
          </w:p>
        </w:tc>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jc w:val="center"/>
            </w:pPr>
            <w:r>
              <w:rPr>
                <w:rFonts w:ascii="Arial" w:cs="Arial" w:hAnsi="Arial"/>
                <w:b/>
                <w:bCs/>
                <w:color w:val="0B3C5D"/>
                <w:sz w:val="22"/>
                <w:szCs w:val="22"/>
                <w:rtl/>
              </w:rPr>
              <w:t xml:space="preserve">مارس 2026</w:t>
            </w:r>
          </w:p>
        </w:tc>
        <w:tc>
          <w:tcPr>
            <w:tcW w:type="dxa" w:w="257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40" w:before="0" w:line="260"/>
              <w:jc w:val="center"/>
            </w:pPr>
            <w:r>
              <w:rPr>
                <w:rFonts w:ascii="Arial" w:cs="Arial" w:hAnsi="Arial"/>
                <w:b/>
                <w:bCs/>
                <w:color w:val="0B3C5D"/>
                <w:sz w:val="22"/>
                <w:szCs w:val="22"/>
                <w:rtl/>
              </w:rPr>
              <w:t xml:space="preserve">أكتوبر 2026</w:t>
            </w:r>
          </w:p>
        </w:tc>
      </w:tr>
    </w:tbl>
    <w:p>
      <w:pPr>
        <w:bidi/>
        <w:spacing w:after="60" w:before="0" w:line="260"/>
      </w:pPr>
      <w:r>
        <w:rPr>
          <w:rFonts w:ascii="Arial" w:cs="Arial" w:hAnsi="Arial"/>
          <w:color w:val="1D2B36"/>
          <w:sz w:val="18"/>
          <w:szCs w:val="18"/>
          <w:rtl/>
        </w:rPr>
        <w:t xml:space="preserve"/>
      </w: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Problem Statement</w:t>
            </w:r>
          </w:p>
          <w:p>
            <w:pPr>
              <w:bidi/>
              <w:spacing w:after="0" w:before="0" w:line="260"/>
              <w:jc w:val="center"/>
            </w:pPr>
            <w:r>
              <w:rPr>
                <w:rFonts w:ascii="Arial" w:cs="Arial" w:hAnsi="Arial"/>
                <w:b/>
                <w:bCs/>
                <w:color w:val="0B3C5D"/>
                <w:sz w:val="17"/>
                <w:szCs w:val="17"/>
                <w:rtl/>
              </w:rPr>
              <w:t xml:space="preserve">(صياغة المشكلة)</w:t>
            </w:r>
          </w:p>
        </w:tc>
        <w:tc>
          <w:tcPr>
            <w:tcW w:type="dxa" w:w="5153"/>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Aim Statement: (SMART)</w:t>
            </w:r>
          </w:p>
          <w:p>
            <w:pPr>
              <w:bidi/>
              <w:spacing w:after="0" w:before="0" w:line="260"/>
              <w:jc w:val="center"/>
            </w:pPr>
            <w:r>
              <w:rPr>
                <w:rFonts w:ascii="Arial" w:cs="Arial" w:hAnsi="Arial"/>
                <w:b/>
                <w:bCs/>
                <w:color w:val="0B3C5D"/>
                <w:sz w:val="17"/>
                <w:szCs w:val="17"/>
                <w:rtl/>
              </w:rPr>
              <w:t xml:space="preserve">(صياغة الهدف الذكي)</w:t>
            </w:r>
          </w:p>
        </w:tc>
      </w:tr>
      <w:tr>
        <w:trPr>
          <w:cantSplit/>
        </w:trPr>
        <w:tc>
          <w:tcPr>
            <w:tcW w:type="dxa" w:w="5153"/>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40" w:before="0" w:line="260"/>
              <w:jc w:val="both"/>
            </w:pPr>
            <w:r>
              <w:rPr>
                <w:rFonts w:ascii="Arial" w:cs="Arial" w:hAnsi="Arial"/>
                <w:color w:val="1D2B36"/>
                <w:sz w:val="18"/>
                <w:szCs w:val="18"/>
                <w:rtl/>
              </w:rPr>
              <w:t xml:space="preserve">على مدى عامين (2024 و2025) لم نتمكن من استكمال الخطة التدريبية التمريضية في </w:t>
            </w:r>
            <w:r>
              <w:rPr>
                <w:rFonts w:ascii="Arial" w:cs="Arial" w:hAnsi="Arial"/>
                <w:b/>
                <w:bCs/>
                <w:color w:val="1D2B36"/>
                <w:sz w:val="18"/>
                <w:szCs w:val="18"/>
                <w:rtl/>
              </w:rPr>
              <w:t xml:space="preserve">مراكزنا العشرة للرعاية الأولية</w:t>
            </w:r>
            <w:r>
              <w:rPr>
                <w:rFonts w:ascii="Arial" w:cs="Arial" w:hAnsi="Arial"/>
                <w:color w:val="1D2B36"/>
                <w:sz w:val="18"/>
                <w:szCs w:val="18"/>
                <w:rtl/>
              </w:rPr>
              <w:t xml:space="preserve">. فقد توقف متوسط الإنجاز المرجح للمؤشرات الأكاديمية عند </w:t>
            </w:r>
            <w:r>
              <w:rPr>
                <w:rFonts w:ascii="Arial" w:cs="Arial" w:hAnsi="Arial"/>
                <w:b/>
                <w:bCs/>
                <w:color w:val="1D2B36"/>
                <w:sz w:val="18"/>
                <w:szCs w:val="18"/>
                <w:rtl/>
              </w:rPr>
              <w:t xml:space="preserve">69.60%</w:t>
            </w:r>
            <w:r>
              <w:rPr>
                <w:rFonts w:ascii="Arial" w:cs="Arial" w:hAnsi="Arial"/>
                <w:color w:val="1D2B36"/>
                <w:sz w:val="18"/>
                <w:szCs w:val="18"/>
                <w:rtl/>
              </w:rPr>
              <w:t xml:space="preserve">، أي أننا كنا بعيدين عن المستهدف (</w:t>
            </w:r>
            <w:r>
              <w:rPr>
                <w:rFonts w:ascii="Arial" w:cs="Arial" w:hAnsi="Arial"/>
                <w:b/>
                <w:bCs/>
                <w:color w:val="1D2B36"/>
                <w:sz w:val="18"/>
                <w:szCs w:val="18"/>
                <w:rtl/>
              </w:rPr>
              <w:t xml:space="preserve">100%</w:t>
            </w:r>
            <w:r>
              <w:rPr>
                <w:rFonts w:ascii="Arial" w:cs="Arial" w:hAnsi="Arial"/>
                <w:color w:val="1D2B36"/>
                <w:sz w:val="18"/>
                <w:szCs w:val="18"/>
                <w:rtl/>
              </w:rPr>
              <w:t xml:space="preserve">) بـ</w:t>
            </w:r>
            <w:r>
              <w:rPr>
                <w:rFonts w:ascii="Arial" w:cs="Arial" w:hAnsi="Arial"/>
                <w:b/>
                <w:bCs/>
                <w:color w:val="1D2B36"/>
                <w:sz w:val="18"/>
                <w:szCs w:val="18"/>
                <w:rtl/>
              </w:rPr>
              <w:t xml:space="preserve">30.40 نقطة مئوية</w:t>
            </w:r>
            <w:r>
              <w:rPr>
                <w:rFonts w:ascii="Arial" w:cs="Arial" w:hAnsi="Arial"/>
                <w:color w:val="1D2B36"/>
                <w:sz w:val="18"/>
                <w:szCs w:val="18"/>
                <w:rtl/>
              </w:rPr>
              <w:t xml:space="preserve">. وفي بعض المجالات كان الوضع أصعب؛ فتقييم التمريض مثلًا لم يتجاوز 9.5% في 2024.</w:t>
            </w:r>
          </w:p>
          <w:p>
            <w:pPr>
              <w:bidi/>
              <w:spacing w:after="40" w:before="0" w:line="260"/>
              <w:jc w:val="both"/>
            </w:pPr>
            <w:r>
              <w:rPr>
                <w:rFonts w:ascii="Arial" w:cs="Arial" w:hAnsi="Arial"/>
                <w:color w:val="1D2B36"/>
                <w:sz w:val="18"/>
                <w:szCs w:val="18"/>
                <w:rtl/>
              </w:rPr>
              <w:t xml:space="preserve">ولم تكن المشكلة في الموضوعات نفسها، بل في طريقة تقديمها. كنا نعتمد على محاضرات Zoom في مواعيد ثابتة، والممرض الذي لديه مناوبة أو يغطي عيادة لا يستطيع الحضور، فنضطر إلى إعادة المحاضرة. في خطة 2025 وحدها جدولنا </w:t>
            </w:r>
            <w:r>
              <w:rPr>
                <w:rFonts w:ascii="Arial" w:cs="Arial" w:hAnsi="Arial"/>
                <w:b/>
                <w:bCs/>
                <w:color w:val="1D2B36"/>
                <w:sz w:val="18"/>
                <w:szCs w:val="18"/>
                <w:rtl/>
              </w:rPr>
              <w:t xml:space="preserve">106 جلسات مباشرة لـ53 موضوعًا</w:t>
            </w:r>
            <w:r>
              <w:rPr>
                <w:rFonts w:ascii="Arial" w:cs="Arial" w:hAnsi="Arial"/>
                <w:color w:val="1D2B36"/>
                <w:sz w:val="18"/>
                <w:szCs w:val="18"/>
                <w:rtl/>
              </w:rPr>
              <w:t xml:space="preserve">، وكررنا 92% منها مرتين أو أكثر، إلى جانب 51 موضوعًا مرحّلًا من 2024 شكّلت 83% من مستهدف الحضور. وكل ذلك دون </w:t>
            </w:r>
            <w:r>
              <w:rPr>
                <w:rFonts w:ascii="Arial" w:cs="Arial" w:hAnsi="Arial"/>
                <w:b/>
                <w:bCs/>
                <w:color w:val="1D2B36"/>
                <w:sz w:val="18"/>
                <w:szCs w:val="18"/>
                <w:rtl/>
              </w:rPr>
              <w:t xml:space="preserve">طريقة منظمة نعرف بها هل تعلّم الكادر فعلًا</w:t>
            </w:r>
            <w:r>
              <w:rPr>
                <w:rFonts w:ascii="Arial" w:cs="Arial" w:hAnsi="Arial"/>
                <w:color w:val="1D2B36"/>
                <w:sz w:val="18"/>
                <w:szCs w:val="18"/>
                <w:rtl/>
              </w:rPr>
              <w:t xml:space="preserve">، وهذا ينعكس في النهاية على جاهزية الفريق وعلى الرعاية التي يتلقاها المراجعون.</w:t>
            </w:r>
          </w:p>
          <w:p>
            <w:pPr>
              <w:spacing w:after="0"/>
              <w:jc w:val="center"/>
            </w:pP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90700"/>
                          </a:xfrm>
                          <a:prstGeom prst="rect">
                            <a:avLst/>
                          </a:prstGeom>
                        </pic:spPr>
                      </pic:pic>
                    </a:graphicData>
                  </a:graphic>
                </wp:inline>
              </w:drawing>
            </w:r>
          </w:p>
        </w:tc>
        <w:tc>
          <w:tcPr>
            <w:tcW w:type="dxa" w:w="5153"/>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40" w:before="0" w:line="260"/>
              <w:jc w:val="both"/>
            </w:pPr>
            <w:r>
              <w:rPr>
                <w:rFonts w:ascii="Arial" w:cs="Arial" w:hAnsi="Arial"/>
                <w:color w:val="1D2B36"/>
                <w:sz w:val="18"/>
                <w:szCs w:val="18"/>
                <w:rtl/>
              </w:rPr>
              <w:t xml:space="preserve">نهدف إلى رفع نسبة إنجاز المستهدفات الأكاديمية للتدريب التمريضي في المراكز العشرة </w:t>
            </w:r>
            <w:r>
              <w:rPr>
                <w:rFonts w:ascii="Arial" w:cs="Arial" w:hAnsi="Arial"/>
                <w:b/>
                <w:bCs/>
                <w:color w:val="1D2B36"/>
                <w:sz w:val="18"/>
                <w:szCs w:val="18"/>
                <w:rtl/>
              </w:rPr>
              <w:t xml:space="preserve">من 69.60% إلى 100%</w:t>
            </w:r>
            <w:r>
              <w:rPr>
                <w:rFonts w:ascii="Arial" w:cs="Arial" w:hAnsi="Arial"/>
                <w:color w:val="1D2B36"/>
                <w:sz w:val="18"/>
                <w:szCs w:val="18"/>
                <w:rtl/>
              </w:rPr>
              <w:t xml:space="preserve"> خلال </w:t>
            </w:r>
            <w:r>
              <w:rPr>
                <w:rFonts w:ascii="Arial" w:cs="Arial" w:hAnsi="Arial"/>
                <w:b/>
                <w:bCs/>
                <w:color w:val="1D2B36"/>
                <w:sz w:val="18"/>
                <w:szCs w:val="18"/>
                <w:rtl/>
              </w:rPr>
              <w:t xml:space="preserve">مارس – أكتوبر 2026</w:t>
            </w:r>
            <w:r>
              <w:rPr>
                <w:rFonts w:ascii="Arial" w:cs="Arial" w:hAnsi="Arial"/>
                <w:color w:val="1D2B36"/>
                <w:sz w:val="18"/>
                <w:szCs w:val="18"/>
                <w:rtl/>
              </w:rPr>
              <w:t xml:space="preserve">، من خلال منصة تعلّم مدمج تضم 5 محاضرات مسجلة تغطي 12 موضوعًا، وتخدم 55 ممرضًا وممرضة. ونعدّ المشروع ناجحًا إذا تحقق معه أيضًا:</w:t>
            </w:r>
          </w:p>
          <w:p>
            <w:pPr>
              <w:bidi/>
              <w:spacing w:after="40" w:before="0" w:line="260"/>
            </w:pPr>
            <w:r>
              <w:rPr>
                <w:rFonts w:ascii="Arial" w:cs="Arial" w:hAnsi="Arial"/>
                <w:color w:val="1D2B36"/>
                <w:sz w:val="18"/>
                <w:szCs w:val="18"/>
                <w:rtl/>
              </w:rPr>
              <w:t xml:space="preserve">• أن يستخدم المنصة </w:t>
            </w:r>
            <w:r>
              <w:rPr>
                <w:rFonts w:ascii="Arial" w:cs="Arial" w:hAnsi="Arial"/>
                <w:b/>
                <w:bCs/>
                <w:color w:val="1D2B36"/>
                <w:sz w:val="18"/>
                <w:szCs w:val="18"/>
                <w:rtl/>
              </w:rPr>
              <w:t xml:space="preserve">80% على الأقل</w:t>
            </w:r>
            <w:r>
              <w:rPr>
                <w:rFonts w:ascii="Arial" w:cs="Arial" w:hAnsi="Arial"/>
                <w:color w:val="1D2B36"/>
                <w:sz w:val="18"/>
                <w:szCs w:val="18"/>
                <w:rtl/>
              </w:rPr>
              <w:t xml:space="preserve"> من المستهدفين.</w:t>
            </w:r>
          </w:p>
          <w:p>
            <w:pPr>
              <w:bidi/>
              <w:spacing w:after="40" w:before="0" w:line="260"/>
            </w:pPr>
            <w:r>
              <w:rPr>
                <w:rFonts w:ascii="Arial" w:cs="Arial" w:hAnsi="Arial"/>
                <w:color w:val="1D2B36"/>
                <w:sz w:val="18"/>
                <w:szCs w:val="18"/>
                <w:rtl/>
              </w:rPr>
              <w:t xml:space="preserve">• أن يرتفع متوسط الاختبار البعدي عن القبلي بـ</w:t>
            </w:r>
            <w:r>
              <w:rPr>
                <w:rFonts w:ascii="Arial" w:cs="Arial" w:hAnsi="Arial"/>
                <w:b/>
                <w:bCs/>
                <w:color w:val="1D2B36"/>
                <w:sz w:val="18"/>
                <w:szCs w:val="18"/>
                <w:rtl/>
              </w:rPr>
              <w:t xml:space="preserve">10 نقاط مئوية على الأقل</w:t>
            </w:r>
            <w:r>
              <w:rPr>
                <w:rFonts w:ascii="Arial" w:cs="Arial" w:hAnsi="Arial"/>
                <w:color w:val="1D2B36"/>
                <w:sz w:val="18"/>
                <w:szCs w:val="18"/>
                <w:rtl/>
              </w:rPr>
              <w:t xml:space="preserve">.</w:t>
            </w:r>
          </w:p>
          <w:p>
            <w:pPr>
              <w:bidi/>
              <w:spacing w:after="40" w:before="0" w:line="260"/>
            </w:pPr>
            <w:r>
              <w:rPr>
                <w:rFonts w:ascii="Arial" w:cs="Arial" w:hAnsi="Arial"/>
                <w:color w:val="1D2B36"/>
                <w:sz w:val="18"/>
                <w:szCs w:val="18"/>
                <w:rtl/>
              </w:rPr>
              <w:t xml:space="preserve">• ألّا يقل متوسط اختبار الاحتفاظ اللاحق عن </w:t>
            </w:r>
            <w:r>
              <w:rPr>
                <w:rFonts w:ascii="Arial" w:cs="Arial" w:hAnsi="Arial"/>
                <w:b/>
                <w:bCs/>
                <w:color w:val="1D2B36"/>
                <w:sz w:val="18"/>
                <w:szCs w:val="18"/>
                <w:rtl/>
              </w:rPr>
              <w:t xml:space="preserve">80%</w:t>
            </w:r>
            <w:r>
              <w:rPr>
                <w:rFonts w:ascii="Arial" w:cs="Arial" w:hAnsi="Arial"/>
                <w:color w:val="1D2B36"/>
                <w:sz w:val="18"/>
                <w:szCs w:val="18"/>
                <w:rtl/>
              </w:rPr>
              <w:t xml:space="preserve">.</w:t>
            </w:r>
          </w:p>
          <w:p>
            <w:pPr>
              <w:bidi/>
              <w:spacing w:after="60" w:before="0" w:line="260"/>
            </w:pPr>
            <w:r>
              <w:rPr>
                <w:rFonts w:ascii="Arial" w:cs="Arial" w:hAnsi="Arial"/>
                <w:color w:val="1D2B36"/>
                <w:sz w:val="18"/>
                <w:szCs w:val="18"/>
                <w:rtl/>
              </w:rPr>
              <w:t xml:space="preserve">ويرافق ذلك ورش تطبيقية داخل المراكز تربط ما تعلّمه الكادر بعمله اليومي.</w:t>
            </w:r>
          </w:p>
          <w:p>
            <w:pPr>
              <w:spacing w:after="0"/>
              <w:jc w:val="center"/>
            </w:pP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90700"/>
                          </a:xfrm>
                          <a:prstGeom prst="rect">
                            <a:avLst/>
                          </a:prstGeom>
                        </pic:spPr>
                      </pic:pic>
                    </a:graphicData>
                  </a:graphic>
                </wp:inline>
              </w:drawing>
            </w:r>
          </w:p>
        </w:tc>
      </w:tr>
    </w:tbl>
    <w:p>
      <w:pPr>
        <w:bidi/>
        <w:spacing w:after="60" w:before="0" w:line="260"/>
      </w:pPr>
      <w:r>
        <w:rPr>
          <w:rFonts w:ascii="Arial" w:cs="Arial" w:hAnsi="Arial"/>
          <w:color w:val="1D2B36"/>
          <w:sz w:val="18"/>
          <w:szCs w:val="18"/>
          <w:rtl/>
        </w:rPr>
        <w:t xml:space="preserve"/>
      </w:r>
    </w:p>
    <w:p>
      <w:pPr>
        <w:pageBreakBefore/>
      </w:pP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906"/>
        <w:gridCol w:w="4400"/>
      </w:tblGrid>
      <w:tr>
        <w:trPr>
          <w:cantSplit/>
        </w:trPr>
        <w:tc>
          <w:tcPr>
            <w:tcW w:type="dxa" w:w="10306"/>
            <w:gridSpan w:val="2"/>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20"/>
                <w:szCs w:val="20"/>
                <w:rtl/>
              </w:rPr>
              <w:t xml:space="preserve">Project Steps (FOCUS – PDCA)  </w:t>
            </w:r>
            <w:r>
              <w:rPr>
                <w:rFonts w:ascii="Arial" w:cs="Arial" w:hAnsi="Arial"/>
                <w:b/>
                <w:bCs/>
                <w:color w:val="FFFFFF"/>
                <w:sz w:val="20"/>
                <w:szCs w:val="20"/>
                <w:rtl/>
              </w:rPr>
              <w:t xml:space="preserve">خطوات المشروع تبعًا لمنهجية</w:t>
            </w:r>
          </w:p>
        </w:tc>
      </w:tr>
      <w:tr>
        <w:trPr>
          <w:cantSplit/>
          <w:tblHeader/>
        </w:trPr>
        <w:tc>
          <w:tcPr>
            <w:tcW w:type="dxa" w:w="590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FOCUS Steps / Description / Tools</w:t>
            </w:r>
          </w:p>
          <w:p>
            <w:pPr>
              <w:bidi/>
              <w:spacing w:after="0" w:before="0" w:line="260"/>
              <w:jc w:val="center"/>
            </w:pPr>
            <w:r>
              <w:rPr>
                <w:rFonts w:ascii="Arial" w:cs="Arial" w:hAnsi="Arial"/>
                <w:b/>
                <w:bCs/>
                <w:color w:val="0B3C5D"/>
                <w:sz w:val="17"/>
                <w:szCs w:val="17"/>
                <w:rtl/>
              </w:rPr>
              <w:t xml:space="preserve">الخطوات / الشرح / الأدوات</w:t>
            </w:r>
          </w:p>
        </w:tc>
        <w:tc>
          <w:tcPr>
            <w:tcW w:type="dxa" w:w="4400"/>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Insert relevant graphs, data, charts</w:t>
            </w:r>
          </w:p>
          <w:p>
            <w:pPr>
              <w:bidi/>
              <w:spacing w:after="0" w:before="0" w:line="260"/>
              <w:jc w:val="center"/>
            </w:pPr>
            <w:r>
              <w:rPr>
                <w:rFonts w:ascii="Arial" w:cs="Arial" w:hAnsi="Arial"/>
                <w:b/>
                <w:bCs/>
                <w:color w:val="0B3C5D"/>
                <w:sz w:val="17"/>
                <w:szCs w:val="17"/>
                <w:rtl/>
              </w:rPr>
              <w:t xml:space="preserve">الرسوم البيانية والبيانات والمخططات ذات الصلة</w:t>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F: Find – </w:t>
            </w:r>
            <w:r>
              <w:rPr>
                <w:rFonts w:ascii="Arial" w:cs="Arial" w:hAnsi="Arial"/>
                <w:b/>
                <w:bCs/>
                <w:color w:val="0B3C5D"/>
                <w:sz w:val="20"/>
                <w:szCs w:val="20"/>
                <w:rtl/>
              </w:rPr>
              <w:t xml:space="preserve">إيجاد المشكلة</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بدأنا بمراجعة المؤشرات الأكاديمية المعتمدة لعامي 2024 و2025 في خمسة مجالات تدريبية، وقارنّا ما تحقق بما كان مستهدفًا. كان المتوسط المرجح </w:t>
            </w:r>
            <w:r>
              <w:rPr>
                <w:rFonts w:ascii="Arial" w:cs="Arial" w:hAnsi="Arial"/>
                <w:b/>
                <w:bCs/>
                <w:color w:val="1D2B36"/>
                <w:sz w:val="18"/>
                <w:szCs w:val="18"/>
                <w:rtl/>
              </w:rPr>
              <w:t xml:space="preserve">69.60%</w:t>
            </w:r>
            <w:r>
              <w:rPr>
                <w:rFonts w:ascii="Arial" w:cs="Arial" w:hAnsi="Arial"/>
                <w:color w:val="1D2B36"/>
                <w:sz w:val="18"/>
                <w:szCs w:val="18"/>
                <w:rtl/>
              </w:rPr>
              <w:t xml:space="preserve">، وتراوح إنجاز 2024 بين 9.5% و72.7%. وحين قارنّا أنفسنا ببقية قطاعات التجمع في 2024 وجدنا البكيرية في المرتبة 11 من 15 بنسبة حضور 83.8%، بينما وصل أعلى قطاع إلى 99.9%. صحيح أن 2025 شهدت تحسنًا بعد تكثيف محاضرات Zoom وإعادة بعضها، لكن أصل المشكلة بقي كما هو: المواعيد الثابتة. لذلك حصرنا التحسين في </w:t>
            </w:r>
            <w:r>
              <w:rPr>
                <w:rFonts w:ascii="Arial" w:cs="Arial" w:hAnsi="Arial"/>
                <w:b/>
                <w:bCs/>
                <w:color w:val="1D2B36"/>
                <w:sz w:val="18"/>
                <w:szCs w:val="18"/>
                <w:rtl/>
              </w:rPr>
              <w:t xml:space="preserve">طريقة تقديم التدريب النظري وقياس أثره</w:t>
            </w:r>
            <w:r>
              <w:rPr>
                <w:rFonts w:ascii="Arial" w:cs="Arial" w:hAnsi="Arial"/>
                <w:color w:val="1D2B36"/>
                <w:sz w:val="18"/>
                <w:szCs w:val="18"/>
                <w:rtl/>
              </w:rPr>
              <w:t xml:space="preserve">، وأبقينا الموضوعات الأكاديمية المعتمدة كما هي.</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تحليل فجوات الأداء (Gap Analysis) + المقارنة المرجعية (Benchmarking)</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O: Organize Team – </w:t>
            </w:r>
            <w:r>
              <w:rPr>
                <w:rFonts w:ascii="Arial" w:cs="Arial" w:hAnsi="Arial"/>
                <w:b/>
                <w:bCs/>
                <w:color w:val="0B3C5D"/>
                <w:sz w:val="20"/>
                <w:szCs w:val="20"/>
                <w:rtl/>
              </w:rPr>
              <w:t xml:space="preserve">تشكيل الفريق</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قادت المشروع </w:t>
            </w:r>
            <w:r>
              <w:rPr>
                <w:rFonts w:ascii="Arial" w:cs="Arial" w:hAnsi="Arial"/>
                <w:b/>
                <w:bCs/>
                <w:color w:val="1D2B36"/>
                <w:sz w:val="18"/>
                <w:szCs w:val="18"/>
                <w:rtl/>
              </w:rPr>
              <w:t xml:space="preserve">مشرفة التدريب والتعليم التمريضي</w:t>
            </w:r>
            <w:r>
              <w:rPr>
                <w:rFonts w:ascii="Arial" w:cs="Arial" w:hAnsi="Arial"/>
                <w:color w:val="1D2B36"/>
                <w:sz w:val="18"/>
                <w:szCs w:val="18"/>
                <w:rtl/>
              </w:rPr>
              <w:t xml:space="preserve">، وتولّت بنفسها تحليل البيانات وتصميم الحل وإعداد المحتوى والاختبارات والتنسيق مع المراكز وقياس النتائج. وساعدنا </w:t>
            </w:r>
            <w:r>
              <w:rPr>
                <w:rFonts w:ascii="Arial" w:cs="Arial" w:hAnsi="Arial"/>
                <w:b/>
                <w:bCs/>
                <w:color w:val="1D2B36"/>
                <w:sz w:val="18"/>
                <w:szCs w:val="18"/>
                <w:rtl/>
              </w:rPr>
              <w:t xml:space="preserve">مطوّر تقني</w:t>
            </w:r>
            <w:r>
              <w:rPr>
                <w:rFonts w:ascii="Arial" w:cs="Arial" w:hAnsi="Arial"/>
                <w:color w:val="1D2B36"/>
                <w:sz w:val="18"/>
                <w:szCs w:val="18"/>
                <w:rtl/>
              </w:rPr>
              <w:t xml:space="preserve"> في برمجة المنصة وفق المتطلبات التي حددناها، فيما سهّلت </w:t>
            </w:r>
            <w:r>
              <w:rPr>
                <w:rFonts w:ascii="Arial" w:cs="Arial" w:hAnsi="Arial"/>
                <w:b/>
                <w:bCs/>
                <w:color w:val="1D2B36"/>
                <w:sz w:val="18"/>
                <w:szCs w:val="18"/>
                <w:rtl/>
              </w:rPr>
              <w:t xml:space="preserve">المراكز الصحية العشرة</w:t>
            </w:r>
            <w:r>
              <w:rPr>
                <w:rFonts w:ascii="Arial" w:cs="Arial" w:hAnsi="Arial"/>
                <w:color w:val="1D2B36"/>
                <w:sz w:val="18"/>
                <w:szCs w:val="18"/>
                <w:rtl/>
              </w:rPr>
              <w:t xml:space="preserve"> التطبيق والورش. ووضعنا الأدوار في مصفوفة RACI حتى يعرف كل طرف ما المطلوب منه بالضبط، ولا تتداخل المهام.</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مصفوفة المسؤوليات (RACI Matrix)</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C: Clarity – </w:t>
            </w:r>
            <w:r>
              <w:rPr>
                <w:rFonts w:ascii="Arial" w:cs="Arial" w:hAnsi="Arial"/>
                <w:b/>
                <w:bCs/>
                <w:color w:val="0B3C5D"/>
                <w:sz w:val="20"/>
                <w:szCs w:val="20"/>
                <w:rtl/>
              </w:rPr>
              <w:t xml:space="preserve">توضيح العملية المتعلقة بالمشكلة</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رسمنا خطوات التدريب كما كانت تجري فعلًا، فظهرت خمس خطوات بينها </w:t>
            </w:r>
            <w:r>
              <w:rPr>
                <w:rFonts w:ascii="Arial" w:cs="Arial" w:hAnsi="Arial"/>
                <w:b/>
                <w:bCs/>
                <w:color w:val="1D2B36"/>
                <w:sz w:val="18"/>
                <w:szCs w:val="18"/>
                <w:rtl/>
              </w:rPr>
              <w:t xml:space="preserve">أربع نقاط هدر</w:t>
            </w:r>
            <w:r>
              <w:rPr>
                <w:rFonts w:ascii="Arial" w:cs="Arial" w:hAnsi="Arial"/>
                <w:color w:val="1D2B36"/>
                <w:sz w:val="18"/>
                <w:szCs w:val="18"/>
                <w:rtl/>
              </w:rPr>
              <w:t xml:space="preserve">: موعد بث ثابت، وتنسيق متكرر مع عشرة مراكز، وتعارض الحضور مع المناوبات، ثم إعادة المحاضرة لمن فاتته. ولم تكن في المسار أي خطوة تقيس ما تعلّمه الممرض. بعدها صممنا المسار الجديد بحيث يتعلّم كل ممرض في الوقت الذي يناسبه: </w:t>
            </w:r>
            <w:r>
              <w:rPr>
                <w:rFonts w:ascii="Arial" w:cs="Arial" w:hAnsi="Arial"/>
                <w:b/>
                <w:bCs/>
                <w:color w:val="1D2B36"/>
                <w:sz w:val="18"/>
                <w:szCs w:val="18"/>
                <w:rtl/>
              </w:rPr>
              <w:t xml:space="preserve">يدخل المنصة، ويؤدي اختبارًا قبليًا، ويشاهد المحتوى المسجّل، ثم يؤدي اختبارًا بعديًا، ولاحقًا اختبار احتفاظ وورشة تطبيقية.</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مخطط سير العملية قبل/بعد (Process Flowchart: As-Is / To-Be)</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5906"/>
            <w:gridSpan w:val="2"/>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U: Understand – </w:t>
            </w:r>
            <w:r>
              <w:rPr>
                <w:rFonts w:ascii="Arial" w:cs="Arial" w:hAnsi="Arial"/>
                <w:b/>
                <w:bCs/>
                <w:color w:val="0B3C5D"/>
                <w:sz w:val="20"/>
                <w:szCs w:val="20"/>
                <w:rtl/>
              </w:rPr>
              <w:t xml:space="preserve">تحديد الأسباب الجذرية للمشكلة</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جمعنا الأسباب المحتملة في مخطط عظمة السمكة ضمن </w:t>
            </w:r>
            <w:r>
              <w:rPr>
                <w:rFonts w:ascii="Arial" w:cs="Arial" w:hAnsi="Arial"/>
                <w:b/>
                <w:bCs/>
                <w:color w:val="1D2B36"/>
                <w:sz w:val="18"/>
                <w:szCs w:val="18"/>
                <w:rtl/>
              </w:rPr>
              <w:t xml:space="preserve">6 محاور</w:t>
            </w:r>
            <w:r>
              <w:rPr>
                <w:rFonts w:ascii="Arial" w:cs="Arial" w:hAnsi="Arial"/>
                <w:color w:val="1D2B36"/>
                <w:sz w:val="18"/>
                <w:szCs w:val="18"/>
                <w:rtl/>
              </w:rPr>
              <w:t xml:space="preserve">: طريقة التقديم، والكوادر والمناوبات، والتوزيع الجغرافي، والوصول إلى المحتوى، وقياس الأثر، والتنسيق والمتابعة. ثم سألنا «لماذا؟» خمس مرات: </w:t>
            </w:r>
            <w:r>
              <w:rPr>
                <w:rFonts w:ascii="Arial" w:cs="Arial" w:hAnsi="Arial"/>
                <w:color w:val="1D2B36"/>
                <w:sz w:val="18"/>
                <w:szCs w:val="18"/>
                <w:rtl/>
              </w:rPr>
              <w:t xml:space="preserve">لماذا لم تتحقق المستهدفات؟ لأن الكادر يجد صعوبة في الحضور. ولماذا؟ لأن الحضور مرتبط بموعد بث ثابت. ولماذا؟ لأن التدريب كله متزامن. ولماذا؟ لأنه لا يوجد محتوى مسجّل ولا منصة موحدة. ولماذا؟ لأننا لم نبنِ بعدُ مسارًا رقميًا للتعلّم والقياس. </w:t>
            </w:r>
            <w:r>
              <w:rPr>
                <w:rFonts w:ascii="Arial" w:cs="Arial" w:hAnsi="Arial"/>
                <w:b/>
                <w:bCs/>
                <w:color w:val="1D2B36"/>
                <w:sz w:val="18"/>
                <w:szCs w:val="18"/>
                <w:rtl/>
              </w:rPr>
              <w:t xml:space="preserve">وانتهينا إلى سببين جذريين: </w:t>
            </w:r>
            <w:r>
              <w:rPr>
                <w:rFonts w:ascii="Arial" w:cs="Arial" w:hAnsi="Arial"/>
                <w:color w:val="1D2B36"/>
                <w:sz w:val="18"/>
                <w:szCs w:val="18"/>
                <w:rtl/>
              </w:rPr>
              <w:t xml:space="preserve">الأول أن التدريب النظري مربوط بموعد واحد لا يناسب المناوبات، والثاني أنه لا توجد طريقة منظمة لقياس التعلّم. وبيانات 2025 أكدت حجم العبء؛ فالموضوعات المرحّلة من 2024 وحدها شكّلت 83% من مستهدف الحضور. أما المؤشرات الأكاديمية فلم نعدّها سببًا، لأنها معتمدة ومتاحة أصلًا.</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مخطط عظمة السمكة (Fishbone / Ishikawa) + تحليل لماذا الخمس (5 Whys)</w:t>
            </w:r>
          </w:p>
        </w:tc>
      </w:tr>
      <w:tr>
        <w:trPr>
          <w:cantSplit/>
        </w:trPr>
        <w:tc>
          <w:tcPr>
            <w:tcW w:type="dxa" w:w="10306"/>
            <w:gridSpan w:val="2"/>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spacing w:after="0"/>
              <w:jc w:val="center"/>
            </w:pPr>
            <w:r>
              <w:drawing>
                <wp:inline distT="0" distB="0" distL="0" distR="0">
                  <wp:extent cx="6191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095625"/>
                          </a:xfrm>
                          <a:prstGeom prst="rect">
                            <a:avLst/>
                          </a:prstGeom>
                        </pic:spPr>
                      </pic:pic>
                    </a:graphicData>
                  </a:graphic>
                </wp:inline>
              </w:drawing>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S: Select – </w:t>
            </w:r>
            <w:r>
              <w:rPr>
                <w:rFonts w:ascii="Arial" w:cs="Arial" w:hAnsi="Arial"/>
                <w:b/>
                <w:bCs/>
                <w:color w:val="0B3C5D"/>
                <w:sz w:val="20"/>
                <w:szCs w:val="20"/>
                <w:rtl/>
              </w:rPr>
              <w:t xml:space="preserve">تحديد الحلول للمشكلة مرتبة حسب الأولويات</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كان أمامنا </w:t>
            </w:r>
            <w:r>
              <w:rPr>
                <w:rFonts w:ascii="Arial" w:cs="Arial" w:hAnsi="Arial"/>
                <w:b/>
                <w:bCs/>
                <w:color w:val="1D2B36"/>
                <w:sz w:val="18"/>
                <w:szCs w:val="18"/>
                <w:rtl/>
              </w:rPr>
              <w:t xml:space="preserve">3 خيارات</w:t>
            </w:r>
            <w:r>
              <w:rPr>
                <w:rFonts w:ascii="Arial" w:cs="Arial" w:hAnsi="Arial"/>
                <w:color w:val="1D2B36"/>
                <w:sz w:val="18"/>
                <w:szCs w:val="18"/>
                <w:rtl/>
              </w:rPr>
              <w:t xml:space="preserve">: أن نستمر في المحاضرات المباشرة ونكررها، أو نتحول إلى التعلّم الإلكتروني وحده، أو نجمع بينهما في تعلّم مدمج. قارنّا بينها وفق </w:t>
            </w:r>
            <w:r>
              <w:rPr>
                <w:rFonts w:ascii="Arial" w:cs="Arial" w:hAnsi="Arial"/>
                <w:b/>
                <w:bCs/>
                <w:color w:val="1D2B36"/>
                <w:sz w:val="18"/>
                <w:szCs w:val="18"/>
                <w:rtl/>
              </w:rPr>
              <w:t xml:space="preserve">6 معايير</w:t>
            </w:r>
            <w:r>
              <w:rPr>
                <w:rFonts w:ascii="Arial" w:cs="Arial" w:hAnsi="Arial"/>
                <w:color w:val="1D2B36"/>
                <w:sz w:val="18"/>
                <w:szCs w:val="18"/>
                <w:rtl/>
              </w:rPr>
              <w:t xml:space="preserve">: مرونة التوقيت، وملاءمة المراكز الطرفية، وقياس التحسن المعرفي، والتطبيق العملي، والجهد التنظيمي، ومدى معالجة الأسباب. ووقع اختيارنا على </w:t>
            </w:r>
            <w:r>
              <w:rPr>
                <w:rFonts w:ascii="Arial" w:cs="Arial" w:hAnsi="Arial"/>
                <w:b/>
                <w:bCs/>
                <w:color w:val="1D2B36"/>
                <w:sz w:val="18"/>
                <w:szCs w:val="18"/>
                <w:rtl/>
              </w:rPr>
              <w:t xml:space="preserve">التعلّم المدمج</w:t>
            </w:r>
            <w:r>
              <w:rPr>
                <w:rFonts w:ascii="Arial" w:cs="Arial" w:hAnsi="Arial"/>
                <w:color w:val="1D2B36"/>
                <w:sz w:val="18"/>
                <w:szCs w:val="18"/>
                <w:rtl/>
              </w:rPr>
              <w:t xml:space="preserve">: منصة موحدة فيها محتوى مسجّل واختبارات قبلية وبعدية ولاحقة، مع ورش تطبيقية قصيرة داخل المراكز؛ لأنه الخيار الوحيد الذي يعالج السببين معًا. ويدعم هذا الاختيار ما توصلت إليه مراجعة منهجية وتحليل تلوي (Liu et al., 2016) من أن التعلّم المدمج في المهن الصحية يحقق نتائج معرفية أفضل من التعليم التقليدي، أو مماثلة له على الأقل.</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مصفوفة المفاضلة بين الحلول (Solution Selection Matrix)</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1695450"/>
                          </a:xfrm>
                          <a:prstGeom prst="rect">
                            <a:avLst/>
                          </a:prstGeom>
                        </pic:spPr>
                      </pic:pic>
                    </a:graphicData>
                  </a:graphic>
                </wp:inline>
              </w:drawing>
            </w:r>
          </w:p>
        </w:tc>
      </w:tr>
    </w:tbl>
    <w:p>
      <w:pPr>
        <w:bidi/>
        <w:spacing w:after="60" w:before="0" w:line="260"/>
      </w:pPr>
      <w:r>
        <w:rPr>
          <w:rFonts w:ascii="Arial" w:cs="Arial" w:hAnsi="Arial"/>
          <w:color w:val="1D2B36"/>
          <w:sz w:val="18"/>
          <w:szCs w:val="18"/>
          <w:rtl/>
        </w:rPr>
        <w:t xml:space="preserve"/>
      </w: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906"/>
        <w:gridCol w:w="4400"/>
      </w:tblGrid>
      <w:tr>
        <w:trPr>
          <w:cantSplit/>
        </w:trPr>
        <w:tc>
          <w:tcPr>
            <w:tcW w:type="dxa" w:w="10306"/>
            <w:gridSpan w:val="2"/>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20"/>
                <w:szCs w:val="20"/>
                <w:rtl/>
              </w:rPr>
              <w:t xml:space="preserve">Project Steps (FOCUS – PDCA)  </w:t>
            </w:r>
            <w:r>
              <w:rPr>
                <w:rFonts w:ascii="Arial" w:cs="Arial" w:hAnsi="Arial"/>
                <w:b/>
                <w:bCs/>
                <w:color w:val="FFFFFF"/>
                <w:sz w:val="20"/>
                <w:szCs w:val="20"/>
                <w:rtl/>
              </w:rPr>
              <w:t xml:space="preserve">خطوات المشروع تبعًا لمنهجية</w:t>
            </w:r>
          </w:p>
        </w:tc>
      </w:tr>
      <w:tr>
        <w:trPr>
          <w:cantSplit/>
          <w:tblHeader/>
        </w:trPr>
        <w:tc>
          <w:tcPr>
            <w:tcW w:type="dxa" w:w="590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PDCA Steps / Description / Tools</w:t>
            </w:r>
          </w:p>
          <w:p>
            <w:pPr>
              <w:bidi/>
              <w:spacing w:after="0" w:before="0" w:line="260"/>
              <w:jc w:val="center"/>
            </w:pPr>
            <w:r>
              <w:rPr>
                <w:rFonts w:ascii="Arial" w:cs="Arial" w:hAnsi="Arial"/>
                <w:b/>
                <w:bCs/>
                <w:color w:val="0B3C5D"/>
                <w:sz w:val="17"/>
                <w:szCs w:val="17"/>
                <w:rtl/>
              </w:rPr>
              <w:t xml:space="preserve">الخطوات / الشرح / الأدوات</w:t>
            </w:r>
          </w:p>
        </w:tc>
        <w:tc>
          <w:tcPr>
            <w:tcW w:type="dxa" w:w="4400"/>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Insert relevant graphs, data, charts</w:t>
            </w:r>
          </w:p>
          <w:p>
            <w:pPr>
              <w:bidi/>
              <w:spacing w:after="0" w:before="0" w:line="260"/>
              <w:jc w:val="center"/>
            </w:pPr>
            <w:r>
              <w:rPr>
                <w:rFonts w:ascii="Arial" w:cs="Arial" w:hAnsi="Arial"/>
                <w:b/>
                <w:bCs/>
                <w:color w:val="0B3C5D"/>
                <w:sz w:val="17"/>
                <w:szCs w:val="17"/>
                <w:rtl/>
              </w:rPr>
              <w:t xml:space="preserve">الرسوم البيانية والبيانات والمخططات ذات الصلة</w:t>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P: Plan – </w:t>
            </w:r>
            <w:r>
              <w:rPr>
                <w:rFonts w:ascii="Arial" w:cs="Arial" w:hAnsi="Arial"/>
                <w:b/>
                <w:bCs/>
                <w:color w:val="0B3C5D"/>
                <w:sz w:val="20"/>
                <w:szCs w:val="20"/>
                <w:rtl/>
              </w:rPr>
              <w:t xml:space="preserve">الخطة التنفيذية للحلول</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قسّمنا العمل إلى خمس مراحل، وحددنا لكل نشاط ما المطلوب، ومن ينفذه، ومتى، وكيف نعرف أنه نجح. في مارس حللنا الفجوات واعتمدنا خط الأساس ومقاييس النجاح، ومن 17 أبريل بدأنا إعداد المحتوى والاختبارات وبرمجة المنصة مع المطوّر التقني. وفي مايو جرّبنا المنصة على نطاق صغير في المراكز الطرفية، ثم عممناها ونفذنا الورش في يونيو، وواصلنا المتابعة والقياس حتى أكتوبر. </w:t>
            </w:r>
            <w:r>
              <w:rPr>
                <w:rFonts w:ascii="Arial" w:cs="Arial" w:hAnsi="Arial"/>
                <w:b/>
                <w:bCs/>
                <w:color w:val="1D2B36"/>
                <w:sz w:val="18"/>
                <w:szCs w:val="18"/>
                <w:rtl/>
              </w:rPr>
              <w:t xml:space="preserve">وربطنا الخطة بأربعة مؤشرات نجاح مأخوذة مباشرة من الهدف الذكي.</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خطة العمل ومخطط جانت (Action Plan / Gantt Chart)</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D: Do – </w:t>
            </w:r>
            <w:r>
              <w:rPr>
                <w:rFonts w:ascii="Arial" w:cs="Arial" w:hAnsi="Arial"/>
                <w:b/>
                <w:bCs/>
                <w:color w:val="0B3C5D"/>
                <w:sz w:val="20"/>
                <w:szCs w:val="20"/>
                <w:rtl/>
              </w:rPr>
              <w:t xml:space="preserve">تنفيذ الخطة (نطاق صغير)</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بدأنا </w:t>
            </w:r>
            <w:r>
              <w:rPr>
                <w:rFonts w:ascii="Arial" w:cs="Arial" w:hAnsi="Arial"/>
                <w:b/>
                <w:bCs/>
                <w:color w:val="1D2B36"/>
                <w:sz w:val="18"/>
                <w:szCs w:val="18"/>
                <w:rtl/>
              </w:rPr>
              <w:t xml:space="preserve">التجربة في مايو 2026 بالمراكز الطرفية</w:t>
            </w:r>
            <w:r>
              <w:rPr>
                <w:rFonts w:ascii="Arial" w:cs="Arial" w:hAnsi="Arial"/>
                <w:color w:val="1D2B36"/>
                <w:sz w:val="18"/>
                <w:szCs w:val="18"/>
                <w:rtl/>
              </w:rPr>
              <w:t xml:space="preserve">، لأنها الأكثر تأثرًا ببعد المسافة، وأردنا أن نتأكد من سهولة الدخول ووضوح المحتوى وسلامة الاختبارات قبل التوسع. وفي يونيو </w:t>
            </w:r>
            <w:r>
              <w:rPr>
                <w:rFonts w:ascii="Arial" w:cs="Arial" w:hAnsi="Arial"/>
                <w:b/>
                <w:bCs/>
                <w:color w:val="1D2B36"/>
                <w:sz w:val="18"/>
                <w:szCs w:val="18"/>
                <w:rtl/>
              </w:rPr>
              <w:t xml:space="preserve">عممنا المنصة على المراكز العشرة</w:t>
            </w:r>
            <w:r>
              <w:rPr>
                <w:rFonts w:ascii="Arial" w:cs="Arial" w:hAnsi="Arial"/>
                <w:color w:val="1D2B36"/>
                <w:sz w:val="18"/>
                <w:szCs w:val="18"/>
                <w:rtl/>
              </w:rPr>
              <w:t xml:space="preserve">. أتحنا 5 محاضرات مسجلة تغطي 12 موضوعًا، لكل موضوع اختبار إلكتروني قبلي وبعدي، ونفذنا 10 ورش تطبيقية داخل المراكز. وتابعنا الدخول وإتمام التقييمات أولًا بأول، دون الحاجة إلى مواعيد بث مباشر متكررة.</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قائمة التحقق من التنفيذ (Implementation Checklist) + التجربة المرحلية (Pilot)</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C: Check – </w:t>
            </w:r>
            <w:r>
              <w:rPr>
                <w:rFonts w:ascii="Arial" w:cs="Arial" w:hAnsi="Arial"/>
                <w:b/>
                <w:bCs/>
                <w:color w:val="0B3C5D"/>
                <w:sz w:val="20"/>
                <w:szCs w:val="20"/>
                <w:rtl/>
              </w:rPr>
              <w:t xml:space="preserve">متابعة وتقييم التنفيذ</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قسنا الأثر على مستوى «التعلّم»، وهو المستوى الثاني في نموذج Kirkpatrick، من خلال </w:t>
            </w:r>
            <w:r>
              <w:rPr>
                <w:rFonts w:ascii="Arial" w:cs="Arial" w:hAnsi="Arial"/>
                <w:b/>
                <w:bCs/>
                <w:color w:val="1D2B36"/>
                <w:sz w:val="18"/>
                <w:szCs w:val="18"/>
                <w:rtl/>
              </w:rPr>
              <w:t xml:space="preserve">62 سجل تقييم مقترن</w:t>
            </w:r>
            <w:r>
              <w:rPr>
                <w:rFonts w:ascii="Arial" w:cs="Arial" w:hAnsi="Arial"/>
                <w:color w:val="1D2B36"/>
                <w:sz w:val="18"/>
                <w:szCs w:val="18"/>
                <w:rtl/>
              </w:rPr>
              <w:t xml:space="preserve">. ارتفع المتوسط المرجح من </w:t>
            </w:r>
            <w:r>
              <w:rPr>
                <w:rFonts w:ascii="Arial" w:cs="Arial" w:hAnsi="Arial"/>
                <w:b/>
                <w:bCs/>
                <w:color w:val="1D2B36"/>
                <w:sz w:val="18"/>
                <w:szCs w:val="18"/>
                <w:rtl/>
              </w:rPr>
              <w:t xml:space="preserve">78.45% إلى 90.66%</w:t>
            </w:r>
            <w:r>
              <w:rPr>
                <w:rFonts w:ascii="Arial" w:cs="Arial" w:hAnsi="Arial"/>
                <w:color w:val="1D2B36"/>
                <w:sz w:val="18"/>
                <w:szCs w:val="18"/>
                <w:rtl/>
              </w:rPr>
              <w:t xml:space="preserve">، أي بزيادة 12.21 نقطة مئوية (تحسّن نسبي 15.6%). ثم أجرينا لاحقًا اختبارًا ورقيًا لنعرف ما بقي من المعلومات، فكان المتوسط </w:t>
            </w:r>
            <w:r>
              <w:rPr>
                <w:rFonts w:ascii="Arial" w:cs="Arial" w:hAnsi="Arial"/>
                <w:b/>
                <w:bCs/>
                <w:color w:val="1D2B36"/>
                <w:sz w:val="18"/>
                <w:szCs w:val="18"/>
                <w:rtl/>
              </w:rPr>
              <w:t xml:space="preserve">85.68%</w:t>
            </w:r>
            <w:r>
              <w:rPr>
                <w:rFonts w:ascii="Arial" w:cs="Arial" w:hAnsi="Arial"/>
                <w:color w:val="1D2B36"/>
                <w:sz w:val="18"/>
                <w:szCs w:val="18"/>
                <w:rtl/>
              </w:rPr>
              <w:t xml:space="preserve"> في 37 نتيجة. واستخدم المنصة </w:t>
            </w:r>
            <w:r>
              <w:rPr>
                <w:rFonts w:ascii="Arial" w:cs="Arial" w:hAnsi="Arial"/>
                <w:b/>
                <w:bCs/>
                <w:color w:val="1D2B36"/>
                <w:sz w:val="18"/>
                <w:szCs w:val="18"/>
                <w:rtl/>
              </w:rPr>
              <w:t xml:space="preserve">45 من أصل 55 مستهدفًا (81.8%)</w:t>
            </w:r>
            <w:r>
              <w:rPr>
                <w:rFonts w:ascii="Arial" w:cs="Arial" w:hAnsi="Arial"/>
                <w:color w:val="1D2B36"/>
                <w:sz w:val="18"/>
                <w:szCs w:val="18"/>
                <w:rtl/>
              </w:rPr>
              <w:t xml:space="preserve">، وتحققت مستهدفات الخطة الأكاديمية للأرباع الثلاثة الأولى من 2026 بنسبة </w:t>
            </w:r>
            <w:r>
              <w:rPr>
                <w:rFonts w:ascii="Arial" w:cs="Arial" w:hAnsi="Arial"/>
                <w:b/>
                <w:bCs/>
                <w:color w:val="1D2B36"/>
                <w:sz w:val="18"/>
                <w:szCs w:val="18"/>
                <w:rtl/>
              </w:rPr>
              <w:t xml:space="preserve">100%</w:t>
            </w:r>
            <w:r>
              <w:rPr>
                <w:rFonts w:ascii="Arial" w:cs="Arial" w:hAnsi="Arial"/>
                <w:color w:val="1D2B36"/>
                <w:sz w:val="18"/>
                <w:szCs w:val="18"/>
                <w:rtl/>
              </w:rPr>
              <w:t xml:space="preserve"> بعد أن كانت 69.60%. وسألنا المستخدمين عن رأيهم في استبيان إلكتروني، فجاء المتوسط </w:t>
            </w:r>
            <w:r>
              <w:rPr>
                <w:rFonts w:ascii="Arial" w:cs="Arial" w:hAnsi="Arial"/>
                <w:b/>
                <w:bCs/>
                <w:color w:val="1D2B36"/>
                <w:sz w:val="18"/>
                <w:szCs w:val="18"/>
                <w:rtl/>
              </w:rPr>
              <w:t xml:space="preserve">4.73 من 5 (94.7%)</w:t>
            </w:r>
            <w:r>
              <w:rPr>
                <w:rFonts w:ascii="Arial" w:cs="Arial" w:hAnsi="Arial"/>
                <w:color w:val="1D2B36"/>
                <w:sz w:val="18"/>
                <w:szCs w:val="18"/>
                <w:rtl/>
              </w:rPr>
              <w:t xml:space="preserve">، ولم يُبدِ أيٌّ من المجيبين الستة عدم موافقة.</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تحليل قبلي–بعدي (Pre–Post) + لوحة مؤشرات (KPI Dashboard) + مخطط التشغيل (Run Chart) + استبيان رضا المستفيد</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A: Act – </w:t>
            </w:r>
            <w:r>
              <w:rPr>
                <w:rFonts w:ascii="Arial" w:cs="Arial" w:hAnsi="Arial"/>
                <w:b/>
                <w:bCs/>
                <w:color w:val="0B3C5D"/>
                <w:sz w:val="20"/>
                <w:szCs w:val="20"/>
                <w:rtl/>
              </w:rPr>
              <w:t xml:space="preserve">تعميم التنفيذ والاستمرارية</w:t>
            </w:r>
          </w:p>
          <w:p>
            <w:pPr>
              <w:bidi/>
              <w:spacing w:after="60" w:before="0" w:line="260"/>
              <w:jc w:val="both"/>
            </w:pPr>
            <w:r>
              <w:rPr>
                <w:rFonts w:ascii="Arial" w:cs="Arial" w:hAnsi="Arial"/>
                <w:b/>
                <w:bCs/>
                <w:color w:val="0E8A8A"/>
                <w:sz w:val="18"/>
                <w:szCs w:val="18"/>
                <w:rtl/>
              </w:rPr>
              <w:t xml:space="preserve">الوصف: </w:t>
            </w:r>
            <w:r>
              <w:rPr>
                <w:rFonts w:ascii="Arial" w:cs="Arial" w:hAnsi="Arial"/>
                <w:color w:val="1D2B36"/>
                <w:sz w:val="18"/>
                <w:szCs w:val="18"/>
                <w:rtl/>
              </w:rPr>
              <w:t xml:space="preserve">سنستمر في التعلّم المدمج قناةً ثابتة للتدريب النظري في المراكز العشرة، ووضعنا </w:t>
            </w:r>
            <w:r>
              <w:rPr>
                <w:rFonts w:ascii="Arial" w:cs="Arial" w:hAnsi="Arial"/>
                <w:b/>
                <w:bCs/>
                <w:color w:val="1D2B36"/>
                <w:sz w:val="18"/>
                <w:szCs w:val="18"/>
                <w:rtl/>
              </w:rPr>
              <w:t xml:space="preserve">خطة ضبط</w:t>
            </w:r>
            <w:r>
              <w:rPr>
                <w:rFonts w:ascii="Arial" w:cs="Arial" w:hAnsi="Arial"/>
                <w:color w:val="1D2B36"/>
                <w:sz w:val="18"/>
                <w:szCs w:val="18"/>
                <w:rtl/>
              </w:rPr>
              <w:t xml:space="preserve"> تحدد لكل مؤشر متى نراجعه ومتى نتدخل، فإذا انحرف أي مؤشر بدأنا دورة PDCA جديدة. وسنحدّث المحتوى كلما تغيرت الأدلة الإرشادية، ونستفيد من نتائج الاختبارات في معرفة الفجوات المعرفية وبناء الخطة التدريبية القادمة. </w:t>
            </w:r>
            <w:r>
              <w:rPr>
                <w:rFonts w:ascii="Arial" w:cs="Arial" w:hAnsi="Arial"/>
                <w:b/>
                <w:bCs/>
                <w:color w:val="1D2B36"/>
                <w:sz w:val="18"/>
                <w:szCs w:val="18"/>
                <w:rtl/>
              </w:rPr>
              <w:t xml:space="preserve">في الدورة القادمة </w:t>
            </w:r>
            <w:r>
              <w:rPr>
                <w:rFonts w:ascii="Arial" w:cs="Arial" w:hAnsi="Arial"/>
                <w:color w:val="1D2B36"/>
                <w:sz w:val="18"/>
                <w:szCs w:val="18"/>
                <w:rtl/>
              </w:rPr>
              <w:t xml:space="preserve">سنعالج ما اشتكى منه المستخدمون: الفيديو الذي يعود إلى البداية عند إيقافه، وبطء التحميل، وطول المقاطع. وسنضيف محتوى للموضوعات الأضعف إنجازًا في 2025، وأولها علم الأدوية وإعطاؤها (11%)، وهو ما طلبه أحد المستخدمين في الاستبيان أيضًا. وسنراجع طريقة تحديد المستهدفات حتى لا تتكرر الموضوعات ذات المستهدف الصفري، كما حدث في 25 موضوعًا في 2025. </w:t>
            </w:r>
            <w:r>
              <w:rPr>
                <w:rFonts w:ascii="Arial" w:cs="Arial" w:hAnsi="Arial"/>
                <w:b/>
                <w:bCs/>
                <w:color w:val="1D2B36"/>
                <w:sz w:val="18"/>
                <w:szCs w:val="18"/>
                <w:rtl/>
              </w:rPr>
              <w:t xml:space="preserve">أما التعميم </w:t>
            </w:r>
            <w:r>
              <w:rPr>
                <w:rFonts w:ascii="Arial" w:cs="Arial" w:hAnsi="Arial"/>
                <w:color w:val="1D2B36"/>
                <w:sz w:val="18"/>
                <w:szCs w:val="18"/>
                <w:rtl/>
              </w:rPr>
              <w:t xml:space="preserve">فنقترح إدراج المحتوى في برنامج تهيئة الموظفين الجدد، ونقل التجربة إلى قطاعات وفئات مهنية أخرى في التجمع.</w:t>
            </w:r>
          </w:p>
          <w:p>
            <w:pPr>
              <w:bidi/>
              <w:spacing w:after="0" w:before="0" w:line="260"/>
            </w:pPr>
            <w:r>
              <w:rPr>
                <w:rFonts w:ascii="Arial" w:cs="Arial" w:hAnsi="Arial"/>
                <w:b/>
                <w:bCs/>
                <w:color w:val="0E8A8A"/>
                <w:sz w:val="18"/>
                <w:szCs w:val="18"/>
                <w:rtl/>
              </w:rPr>
              <w:t xml:space="preserve">الأداة: </w:t>
            </w:r>
            <w:r>
              <w:rPr>
                <w:rFonts w:ascii="Arial" w:cs="Arial" w:hAnsi="Arial"/>
                <w:b/>
                <w:bCs/>
                <w:color w:val="1D2B36"/>
                <w:sz w:val="18"/>
                <w:szCs w:val="18"/>
                <w:rtl/>
              </w:rPr>
              <w:t xml:space="preserve">خطة الضبط (Control Plan) + التوحيد القياسي (Standardization)</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10306"/>
            <w:gridSpan w:val="2"/>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spacing w:after="0"/>
              <w:jc w:val="center"/>
            </w:pPr>
            <w:r>
              <w:drawing>
                <wp:inline distT="0" distB="0" distL="0" distR="0">
                  <wp:extent cx="6191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209800"/>
                          </a:xfrm>
                          <a:prstGeom prst="rect">
                            <a:avLst/>
                          </a:prstGeom>
                        </pic:spPr>
                      </pic:pic>
                    </a:graphicData>
                  </a:graphic>
                </wp:inline>
              </w:drawing>
            </w:r>
          </w:p>
        </w:tc>
      </w:tr>
    </w:tbl>
    <w:p>
      <w:pPr>
        <w:bidi/>
        <w:spacing w:after="60" w:before="0" w:line="260"/>
      </w:pPr>
      <w:r>
        <w:rPr>
          <w:rFonts w:ascii="Arial" w:cs="Arial" w:hAnsi="Arial"/>
          <w:color w:val="1D2B36"/>
          <w:sz w:val="18"/>
          <w:szCs w:val="18"/>
          <w:rtl/>
        </w:rPr>
        <w:t xml:space="preserve"/>
      </w: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906"/>
        <w:gridCol w:w="4400"/>
      </w:tblGrid>
      <w:tr>
        <w:trPr>
          <w:cantSplit/>
        </w:trPr>
        <w:tc>
          <w:tcPr>
            <w:tcW w:type="dxa" w:w="10306"/>
            <w:gridSpan w:val="2"/>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20"/>
                <w:szCs w:val="20"/>
                <w:rtl/>
              </w:rPr>
              <w:t xml:space="preserve">Project Results (achievements)  </w:t>
            </w:r>
            <w:r>
              <w:rPr>
                <w:rFonts w:ascii="Arial" w:cs="Arial" w:hAnsi="Arial"/>
                <w:b/>
                <w:bCs/>
                <w:color w:val="FFFFFF"/>
                <w:sz w:val="20"/>
                <w:szCs w:val="20"/>
                <w:rtl/>
              </w:rPr>
              <w:t xml:space="preserve">نتائج المشروع (الإنجاز)</w:t>
            </w:r>
          </w:p>
        </w:tc>
      </w:tr>
      <w:tr>
        <w:trPr>
          <w:cantSplit/>
        </w:trPr>
        <w:tc>
          <w:tcPr>
            <w:tcW w:type="dxa" w:w="5906"/>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Illustrate improvement (pre and post project)</w:t>
            </w:r>
          </w:p>
          <w:p>
            <w:pPr>
              <w:bidi/>
              <w:spacing w:after="0" w:before="0" w:line="260"/>
              <w:jc w:val="center"/>
            </w:pPr>
            <w:r>
              <w:rPr>
                <w:rFonts w:ascii="Arial" w:cs="Arial" w:hAnsi="Arial"/>
                <w:b/>
                <w:bCs/>
                <w:color w:val="0B3C5D"/>
                <w:sz w:val="17"/>
                <w:szCs w:val="17"/>
                <w:rtl/>
              </w:rPr>
              <w:t xml:space="preserve">توضيح التحسين (قبل وبعد المشروع)</w:t>
            </w:r>
          </w:p>
        </w:tc>
        <w:tc>
          <w:tcPr>
            <w:tcW w:type="dxa" w:w="4400"/>
            <w:tcBorders>
              <w:top w:val="single" w:color="7F9DB5" w:sz="6"/>
              <w:left w:val="single" w:color="7F9DB5" w:sz="6"/>
              <w:bottom w:val="single" w:color="7F9DB5" w:sz="6"/>
              <w:right w:val="single" w:color="7F9DB5" w:sz="6"/>
            </w:tcBorders>
            <w:shd w:fill="D9E2F3"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Insert relevant graphs, data, charts</w:t>
            </w:r>
          </w:p>
          <w:p>
            <w:pPr>
              <w:bidi/>
              <w:spacing w:after="0" w:before="0" w:line="260"/>
              <w:jc w:val="center"/>
            </w:pPr>
            <w:r>
              <w:rPr>
                <w:rFonts w:ascii="Arial" w:cs="Arial" w:hAnsi="Arial"/>
                <w:b/>
                <w:bCs/>
                <w:color w:val="0B3C5D"/>
                <w:sz w:val="17"/>
                <w:szCs w:val="17"/>
                <w:rtl/>
              </w:rPr>
              <w:t xml:space="preserve">الرسوم البيانية والبيانات ذات الصلة</w:t>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20" w:before="0" w:line="260"/>
            </w:pPr>
            <w:r>
              <w:rPr>
                <w:rFonts w:ascii="Arial" w:cs="Arial" w:hAnsi="Arial"/>
                <w:b/>
                <w:bCs/>
                <w:color w:val="0B3C5D"/>
                <w:sz w:val="18"/>
                <w:szCs w:val="18"/>
                <w:rtl/>
              </w:rPr>
              <w:t xml:space="preserve">Data Baseline – Target – Improvement</w:t>
            </w:r>
          </w:p>
          <w:p>
            <w:pPr>
              <w:bidi/>
              <w:spacing w:after="60" w:before="0" w:line="260"/>
            </w:pPr>
            <w:r>
              <w:rPr>
                <w:rFonts w:ascii="Arial" w:cs="Arial" w:hAnsi="Arial"/>
                <w:b/>
                <w:bCs/>
                <w:color w:val="0B3C5D"/>
                <w:sz w:val="18"/>
                <w:szCs w:val="18"/>
                <w:rtl/>
              </w:rPr>
              <w:t xml:space="preserve">البيانات الأساسية – المستهدف – التحسين</w:t>
            </w:r>
          </w:p>
          <w:p>
            <w:pPr>
              <w:bidi/>
              <w:spacing w:after="20" w:before="0" w:line="260"/>
            </w:pPr>
            <w:r>
              <w:rPr>
                <w:rFonts w:ascii="Arial" w:cs="Arial" w:hAnsi="Arial"/>
                <w:b/>
                <w:bCs/>
                <w:color w:val="7F8C8D"/>
                <w:sz w:val="18"/>
                <w:szCs w:val="18"/>
                <w:rtl/>
              </w:rPr>
              <w:t xml:space="preserve">☐ </w:t>
            </w:r>
            <w:r>
              <w:rPr>
                <w:rFonts w:ascii="Arial" w:cs="Arial" w:hAnsi="Arial"/>
                <w:b w:val="false"/>
                <w:color w:val="1D2B36"/>
                <w:sz w:val="18"/>
                <w:szCs w:val="18"/>
                <w:rtl/>
              </w:rPr>
              <w:t xml:space="preserve">Achieved Target (تحقيق المستهدف) فقط</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Exceeded Target (تخطي المستهدف)</w:t>
            </w:r>
            <w:r>
              <w:rPr>
                <w:rFonts w:ascii="Arial" w:cs="Arial" w:hAnsi="Arial"/>
                <w:color w:val="5B6E7C"/>
                <w:sz w:val="16"/>
                <w:szCs w:val="16"/>
                <w:rtl/>
              </w:rPr>
              <w:t xml:space="preserve"> – تجاوزت 3 مؤشرات من 5 مستهدفاتها، وتحقق المؤشران الآخران كاملين</w:t>
            </w:r>
          </w:p>
          <w:p>
            <w:pPr>
              <w:bidi/>
              <w:spacing w:after="20" w:before="0" w:line="260"/>
            </w:pPr>
            <w:r>
              <w:rPr>
                <w:rFonts w:ascii="Arial" w:cs="Arial" w:hAnsi="Arial"/>
                <w:b/>
                <w:bCs/>
                <w:color w:val="7F8C8D"/>
                <w:sz w:val="18"/>
                <w:szCs w:val="18"/>
                <w:rtl/>
              </w:rPr>
              <w:t xml:space="preserve">☐ </w:t>
            </w:r>
            <w:r>
              <w:rPr>
                <w:rFonts w:ascii="Arial" w:cs="Arial" w:hAnsi="Arial"/>
                <w:b w:val="false"/>
                <w:color w:val="1D2B36"/>
                <w:sz w:val="18"/>
                <w:szCs w:val="18"/>
                <w:rtl/>
              </w:rPr>
              <w:t xml:space="preserve">Not Achieved Target (لم يتحقق المستهدف)</w:t>
            </w:r>
          </w:p>
          <w:p>
            <w:pPr>
              <w:bidi/>
              <w:spacing w:after="40" w:before="40" w:line="260"/>
              <w:jc w:val="both"/>
            </w:pPr>
            <w:r>
              <w:rPr>
                <w:rFonts w:ascii="Arial" w:cs="Arial" w:hAnsi="Arial"/>
                <w:b/>
                <w:bCs/>
                <w:color w:val="1D2B36"/>
                <w:sz w:val="18"/>
                <w:szCs w:val="18"/>
                <w:rtl/>
              </w:rPr>
              <w:t xml:space="preserve">كيف؟ </w:t>
            </w:r>
            <w:r>
              <w:rPr>
                <w:rFonts w:ascii="Arial" w:cs="Arial" w:hAnsi="Arial"/>
                <w:color w:val="1D2B36"/>
                <w:sz w:val="18"/>
                <w:szCs w:val="18"/>
                <w:rtl/>
              </w:rPr>
              <w:t xml:space="preserve">عالجنا السببين الجذريين معًا: فصلنا التعلّم النظري عن الموعد الثابت فصار الممرض يتعلّم بما يناسب مناوبته، وأدخلنا القياس في مسار التعلّم نفسه (قبلي وبعدي ولاحق) فأصبحنا نعرف أين نتدخل.</w:t>
            </w:r>
          </w:p>
          <w:p>
            <w:pPr>
              <w:bidi/>
              <w:spacing w:after="40" w:before="0" w:line="260"/>
              <w:jc w:val="both"/>
            </w:pPr>
            <w:r>
              <w:rPr>
                <w:rFonts w:ascii="Arial" w:cs="Arial" w:hAnsi="Arial"/>
                <w:b/>
                <w:bCs/>
                <w:color w:val="1D2B36"/>
                <w:sz w:val="18"/>
                <w:szCs w:val="18"/>
                <w:rtl/>
              </w:rPr>
              <w:t xml:space="preserve">القيمة النسبية: </w:t>
            </w:r>
            <w:r>
              <w:rPr>
                <w:rFonts w:ascii="Arial" w:cs="Arial" w:hAnsi="Arial"/>
                <w:color w:val="1D2B36"/>
                <w:sz w:val="18"/>
                <w:szCs w:val="18"/>
                <w:rtl/>
              </w:rPr>
              <w:t xml:space="preserve">ارتفع إنجاز المستهدفات الأكاديمية بنسبة 43.7% عن خط الأساس، من 69.60% إلى 100%.</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10306"/>
            <w:gridSpan w:val="2"/>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tbl>
            <w:tblPr>
              <w:bidiVisual/>
              <w:tblW w:type="dxa" w:w="10086"/>
              <w:tblBorders>
                <w:top w:val="single" w:color="auto" w:sz="4"/>
                <w:left w:val="single" w:color="auto" w:sz="4"/>
                <w:bottom w:val="single" w:color="auto" w:sz="4"/>
                <w:right w:val="single" w:color="auto" w:sz="4"/>
                <w:insideH w:val="single" w:color="auto" w:sz="4"/>
                <w:insideV w:val="single" w:color="auto" w:sz="4"/>
              </w:tblBorders>
            </w:tblPr>
            <w:tblGrid>
              <w:gridCol w:w="2180"/>
              <w:gridCol w:w="1250"/>
              <w:gridCol w:w="1250"/>
              <w:gridCol w:w="1250"/>
              <w:gridCol w:w="1356"/>
              <w:gridCol w:w="2800"/>
            </w:tblGrid>
            <w:tr>
              <w:trPr>
                <w:cantSplit/>
                <w:tblHeader/>
              </w:trPr>
              <w:tc>
                <w:tcPr>
                  <w:tcW w:type="dxa" w:w="218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المؤشر</w:t>
                  </w:r>
                </w:p>
              </w:tc>
              <w:tc>
                <w:tcPr>
                  <w:tcW w:type="dxa" w:w="125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خط الأساس</w:t>
                  </w:r>
                </w:p>
              </w:tc>
              <w:tc>
                <w:tcPr>
                  <w:tcW w:type="dxa" w:w="125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المستهدف</w:t>
                  </w:r>
                </w:p>
              </w:tc>
              <w:tc>
                <w:tcPr>
                  <w:tcW w:type="dxa" w:w="125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المتحقق</w:t>
                  </w:r>
                </w:p>
              </w:tc>
              <w:tc>
                <w:tcPr>
                  <w:tcW w:type="dxa" w:w="1356"/>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التحسن</w:t>
                  </w:r>
                </w:p>
              </w:tc>
              <w:tc>
                <w:tcPr>
                  <w:tcW w:type="dxa" w:w="280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الحالة / كيف تحقق؟</w:t>
                  </w:r>
                </w:p>
              </w:tc>
            </w:tr>
            <w:tr>
              <w:trPr>
                <w:cantSplit/>
              </w:trPr>
              <w:tc>
                <w:tcPr>
                  <w:tcW w:type="dxa" w:w="218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إنجاز المستهدفات الأكاديمية</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69.60%</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100%</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0E8A8A"/>
                      <w:sz w:val="17"/>
                      <w:szCs w:val="17"/>
                      <w:rtl/>
                    </w:rPr>
                    <w:t xml:space="preserve">100%</w:t>
                  </w:r>
                </w:p>
              </w:tc>
              <w:tc>
                <w:tcPr>
                  <w:tcW w:type="dxa" w:w="135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1D2B36"/>
                      <w:sz w:val="17"/>
                      <w:szCs w:val="17"/>
                      <w:rtl/>
                    </w:rPr>
                    <w:t xml:space="preserve">+30.40 ن.م</w:t>
                  </w:r>
                </w:p>
              </w:tc>
              <w:tc>
                <w:tcPr>
                  <w:tcW w:type="dxa" w:w="2800"/>
                  <w:tcBorders>
                    <w:top w:val="single" w:color="7F9DB5" w:sz="6"/>
                    <w:left w:val="single" w:color="7F9DB5" w:sz="6"/>
                    <w:bottom w:val="single" w:color="7F9DB5" w:sz="6"/>
                    <w:right w:val="single" w:color="7F9DB5" w:sz="6"/>
                  </w:tcBorders>
                  <w:shd w:fill="EAF4FA"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 تحقق المستهدف</w:t>
                  </w:r>
                </w:p>
                <w:p>
                  <w:pPr>
                    <w:bidi/>
                    <w:spacing w:after="0" w:before="0" w:line="260"/>
                  </w:pPr>
                  <w:r>
                    <w:rPr>
                      <w:rFonts w:ascii="Arial" w:cs="Arial" w:hAnsi="Arial"/>
                      <w:color w:val="5B6E7C"/>
                      <w:sz w:val="15"/>
                      <w:szCs w:val="15"/>
                      <w:rtl/>
                    </w:rPr>
                    <w:t xml:space="preserve">إتاحة التعلّم عند الطلب بما يتوافق مع المناوبات</w:t>
                  </w:r>
                </w:p>
              </w:tc>
            </w:tr>
            <w:tr>
              <w:trPr>
                <w:cantSplit/>
              </w:trPr>
              <w:tc>
                <w:tcPr>
                  <w:tcW w:type="dxa" w:w="218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استخدام المنصة من المستهدفين</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 80%</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0E8A8A"/>
                      <w:sz w:val="17"/>
                      <w:szCs w:val="17"/>
                      <w:rtl/>
                    </w:rPr>
                    <w:t xml:space="preserve">81.8% (45/55)</w:t>
                  </w:r>
                </w:p>
              </w:tc>
              <w:tc>
                <w:tcPr>
                  <w:tcW w:type="dxa" w:w="135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1D2B36"/>
                      <w:sz w:val="17"/>
                      <w:szCs w:val="17"/>
                      <w:rtl/>
                    </w:rPr>
                    <w:t xml:space="preserve">قناة جديدة</w:t>
                  </w:r>
                </w:p>
              </w:tc>
              <w:tc>
                <w:tcPr>
                  <w:tcW w:type="dxa" w:w="2800"/>
                  <w:tcBorders>
                    <w:top w:val="single" w:color="7F9DB5" w:sz="6"/>
                    <w:left w:val="single" w:color="7F9DB5" w:sz="6"/>
                    <w:bottom w:val="single" w:color="7F9DB5" w:sz="6"/>
                    <w:right w:val="single" w:color="7F9DB5" w:sz="6"/>
                  </w:tcBorders>
                  <w:shd w:fill="EAF4FA"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 تجاوز المستهدف</w:t>
                  </w:r>
                </w:p>
                <w:p>
                  <w:pPr>
                    <w:bidi/>
                    <w:spacing w:after="0" w:before="0" w:line="260"/>
                  </w:pPr>
                  <w:r>
                    <w:rPr>
                      <w:rFonts w:ascii="Arial" w:cs="Arial" w:hAnsi="Arial"/>
                      <w:color w:val="5B6E7C"/>
                      <w:sz w:val="15"/>
                      <w:szCs w:val="15"/>
                      <w:rtl/>
                    </w:rPr>
                    <w:t xml:space="preserve">منصة موحدة لـ10 مراكز بدل مواعيد بث ثابتة</w:t>
                  </w:r>
                </w:p>
              </w:tc>
            </w:tr>
            <w:tr>
              <w:trPr>
                <w:cantSplit/>
              </w:trPr>
              <w:tc>
                <w:tcPr>
                  <w:tcW w:type="dxa" w:w="218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الفرق القبلي – البعدي</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غير مُقاس</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 10 ن.م</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0E8A8A"/>
                      <w:sz w:val="17"/>
                      <w:szCs w:val="17"/>
                      <w:rtl/>
                    </w:rPr>
                    <w:t xml:space="preserve">+12.21 ن.م</w:t>
                  </w:r>
                </w:p>
              </w:tc>
              <w:tc>
                <w:tcPr>
                  <w:tcW w:type="dxa" w:w="135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1D2B36"/>
                      <w:sz w:val="17"/>
                      <w:szCs w:val="17"/>
                      <w:rtl/>
                    </w:rPr>
                    <w:t xml:space="preserve">78.45% ← 90.66%</w:t>
                  </w:r>
                </w:p>
              </w:tc>
              <w:tc>
                <w:tcPr>
                  <w:tcW w:type="dxa" w:w="2800"/>
                  <w:tcBorders>
                    <w:top w:val="single" w:color="7F9DB5" w:sz="6"/>
                    <w:left w:val="single" w:color="7F9DB5" w:sz="6"/>
                    <w:bottom w:val="single" w:color="7F9DB5" w:sz="6"/>
                    <w:right w:val="single" w:color="7F9DB5" w:sz="6"/>
                  </w:tcBorders>
                  <w:shd w:fill="EAF4FA"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 تجاوز المستهدف</w:t>
                  </w:r>
                </w:p>
                <w:p>
                  <w:pPr>
                    <w:bidi/>
                    <w:spacing w:after="0" w:before="0" w:line="260"/>
                  </w:pPr>
                  <w:r>
                    <w:rPr>
                      <w:rFonts w:ascii="Arial" w:cs="Arial" w:hAnsi="Arial"/>
                      <w:color w:val="5B6E7C"/>
                      <w:sz w:val="15"/>
                      <w:szCs w:val="15"/>
                      <w:rtl/>
                    </w:rPr>
                    <w:t xml:space="preserve">محتوى مسجّل قابل للمراجعة + اختبارات مدمجة</w:t>
                  </w:r>
                </w:p>
              </w:tc>
            </w:tr>
            <w:tr>
              <w:trPr>
                <w:cantSplit/>
              </w:trPr>
              <w:tc>
                <w:tcPr>
                  <w:tcW w:type="dxa" w:w="218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اختبار الاحتفاظ اللاحق</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غير مُقاس</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 80%</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0E8A8A"/>
                      <w:sz w:val="17"/>
                      <w:szCs w:val="17"/>
                      <w:rtl/>
                    </w:rPr>
                    <w:t xml:space="preserve">85.68%</w:t>
                  </w:r>
                </w:p>
              </w:tc>
              <w:tc>
                <w:tcPr>
                  <w:tcW w:type="dxa" w:w="135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1D2B36"/>
                      <w:sz w:val="17"/>
                      <w:szCs w:val="17"/>
                      <w:rtl/>
                    </w:rPr>
                    <w:t xml:space="preserve">+5.68 ن.م عن المستهدف</w:t>
                  </w:r>
                </w:p>
              </w:tc>
              <w:tc>
                <w:tcPr>
                  <w:tcW w:type="dxa" w:w="2800"/>
                  <w:tcBorders>
                    <w:top w:val="single" w:color="7F9DB5" w:sz="6"/>
                    <w:left w:val="single" w:color="7F9DB5" w:sz="6"/>
                    <w:bottom w:val="single" w:color="7F9DB5" w:sz="6"/>
                    <w:right w:val="single" w:color="7F9DB5" w:sz="6"/>
                  </w:tcBorders>
                  <w:shd w:fill="EAF4FA"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 تجاوز المستهدف</w:t>
                  </w:r>
                </w:p>
                <w:p>
                  <w:pPr>
                    <w:bidi/>
                    <w:spacing w:after="0" w:before="0" w:line="260"/>
                  </w:pPr>
                  <w:r>
                    <w:rPr>
                      <w:rFonts w:ascii="Arial" w:cs="Arial" w:hAnsi="Arial"/>
                      <w:color w:val="5B6E7C"/>
                      <w:sz w:val="15"/>
                      <w:szCs w:val="15"/>
                      <w:rtl/>
                    </w:rPr>
                    <w:t xml:space="preserve">تعزيز بالورش التطبيقية داخل المراكز</w:t>
                  </w:r>
                </w:p>
              </w:tc>
            </w:tr>
            <w:tr>
              <w:trPr>
                <w:cantSplit/>
              </w:trPr>
              <w:tc>
                <w:tcPr>
                  <w:tcW w:type="dxa" w:w="218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رضا المستخدمين عن المنصة</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غير مُقاس</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0E8A8A"/>
                      <w:sz w:val="17"/>
                      <w:szCs w:val="17"/>
                      <w:rtl/>
                    </w:rPr>
                    <w:t xml:space="preserve">4.73 من 5</w:t>
                  </w:r>
                </w:p>
              </w:tc>
              <w:tc>
                <w:tcPr>
                  <w:tcW w:type="dxa" w:w="135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1D2B36"/>
                      <w:sz w:val="17"/>
                      <w:szCs w:val="17"/>
                      <w:rtl/>
                    </w:rPr>
                    <w:t xml:space="preserve">94.7%</w:t>
                  </w:r>
                </w:p>
              </w:tc>
              <w:tc>
                <w:tcPr>
                  <w:tcW w:type="dxa" w:w="2800"/>
                  <w:tcBorders>
                    <w:top w:val="single" w:color="7F9DB5" w:sz="6"/>
                    <w:left w:val="single" w:color="7F9DB5" w:sz="6"/>
                    <w:bottom w:val="single" w:color="7F9DB5" w:sz="6"/>
                    <w:right w:val="single" w:color="7F9DB5" w:sz="6"/>
                  </w:tcBorders>
                  <w:shd w:fill="EAF4FA"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 مؤشر داعم</w:t>
                  </w:r>
                </w:p>
                <w:p>
                  <w:pPr>
                    <w:bidi/>
                    <w:spacing w:after="0" w:before="0" w:line="260"/>
                  </w:pPr>
                  <w:r>
                    <w:rPr>
                      <w:rFonts w:ascii="Arial" w:cs="Arial" w:hAnsi="Arial"/>
                      <w:color w:val="5B6E7C"/>
                      <w:sz w:val="15"/>
                      <w:szCs w:val="15"/>
                      <w:rtl/>
                    </w:rPr>
                    <w:t xml:space="preserve">6 ردود؛ 100% موافق أو موافق بشدة</w:t>
                  </w:r>
                </w:p>
              </w:tc>
            </w:tr>
            <w:tr>
              <w:trPr>
                <w:cantSplit/>
              </w:trPr>
              <w:tc>
                <w:tcPr>
                  <w:tcW w:type="dxa" w:w="218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تغطية المحتوى التدريبي</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color w:val="1D2B36"/>
                      <w:sz w:val="17"/>
                      <w:szCs w:val="17"/>
                      <w:rtl/>
                    </w:rPr>
                    <w:t xml:space="preserve">12 موضوعًا / 10 مراكز</w:t>
                  </w:r>
                </w:p>
              </w:tc>
              <w:tc>
                <w:tcPr>
                  <w:tcW w:type="dxa" w:w="125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0E8A8A"/>
                      <w:sz w:val="17"/>
                      <w:szCs w:val="17"/>
                      <w:rtl/>
                    </w:rPr>
                    <w:t xml:space="preserve">12 موضوعًا · 10 مراكز</w:t>
                  </w:r>
                </w:p>
              </w:tc>
              <w:tc>
                <w:tcPr>
                  <w:tcW w:type="dxa" w:w="135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center"/>
                  </w:pPr>
                  <w:r>
                    <w:rPr>
                      <w:rFonts w:ascii="Arial" w:cs="Arial" w:hAnsi="Arial"/>
                      <w:b/>
                      <w:bCs/>
                      <w:color w:val="1D2B36"/>
                      <w:sz w:val="17"/>
                      <w:szCs w:val="17"/>
                      <w:rtl/>
                    </w:rPr>
                    <w:t xml:space="preserve">100%</w:t>
                  </w:r>
                </w:p>
              </w:tc>
              <w:tc>
                <w:tcPr>
                  <w:tcW w:type="dxa" w:w="2800"/>
                  <w:tcBorders>
                    <w:top w:val="single" w:color="7F9DB5" w:sz="6"/>
                    <w:left w:val="single" w:color="7F9DB5" w:sz="6"/>
                    <w:bottom w:val="single" w:color="7F9DB5" w:sz="6"/>
                    <w:right w:val="single" w:color="7F9DB5" w:sz="6"/>
                  </w:tcBorders>
                  <w:shd w:fill="EAF4FA"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 تحقق المستهدف</w:t>
                  </w:r>
                </w:p>
                <w:p>
                  <w:pPr>
                    <w:bidi/>
                    <w:spacing w:after="0" w:before="0" w:line="260"/>
                  </w:pPr>
                  <w:r>
                    <w:rPr>
                      <w:rFonts w:ascii="Arial" w:cs="Arial" w:hAnsi="Arial"/>
                      <w:color w:val="5B6E7C"/>
                      <w:sz w:val="15"/>
                      <w:szCs w:val="15"/>
                      <w:rtl/>
                    </w:rPr>
                    <w:t xml:space="preserve">5 محاضرات مسجلة + 10 ورش تطبيقية</w:t>
                  </w:r>
                </w:p>
              </w:tc>
            </w:tr>
          </w:tbl>
          <w:p>
            <w:pPr>
              <w:bidi/>
              <w:spacing w:after="0" w:before="40" w:line="260"/>
            </w:pPr>
            <w:r>
              <w:rPr>
                <w:rFonts w:ascii="Arial" w:cs="Arial" w:hAnsi="Arial"/>
                <w:color w:val="5B6E7C"/>
                <w:sz w:val="14"/>
                <w:szCs w:val="14"/>
                <w:rtl/>
              </w:rPr>
              <w:t xml:space="preserve">ن.م = نقطة مئوية · المقاييس: المؤشرات الأكاديمية المعتمدة، سجلات المنصة، نتائج الاختبارات الإلكترونية والورقية.</w:t>
            </w:r>
          </w:p>
        </w:tc>
      </w:tr>
    </w:tbl>
    <w:p>
      <w:pPr>
        <w:bidi/>
        <w:spacing w:after="60" w:before="0" w:line="260"/>
      </w:pPr>
      <w:r>
        <w:rPr>
          <w:rFonts w:ascii="Arial" w:cs="Arial" w:hAnsi="Arial"/>
          <w:color w:val="1D2B36"/>
          <w:sz w:val="18"/>
          <w:szCs w:val="18"/>
          <w:rtl/>
        </w:rPr>
        <w:t xml:space="preserve"/>
      </w: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906"/>
        <w:gridCol w:w="4400"/>
      </w:tblGrid>
      <w:tr>
        <w:trPr>
          <w:cantSplit/>
        </w:trPr>
        <w:tc>
          <w:tcPr>
            <w:tcW w:type="dxa" w:w="10306"/>
            <w:gridSpan w:val="2"/>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20"/>
                <w:szCs w:val="20"/>
                <w:rtl/>
              </w:rPr>
              <w:t xml:space="preserve">Value Benefits/Impact: What is the improvement outcome?  </w:t>
            </w:r>
            <w:r>
              <w:rPr>
                <w:rFonts w:ascii="Arial" w:cs="Arial" w:hAnsi="Arial"/>
                <w:b/>
                <w:bCs/>
                <w:color w:val="FFFFFF"/>
                <w:sz w:val="20"/>
                <w:szCs w:val="20"/>
                <w:rtl/>
              </w:rPr>
              <w:t xml:space="preserve">القيمة / الفوائد / التأثير: ما هي نتيجة التحسين؟</w:t>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20" w:before="0" w:line="260"/>
            </w:pPr>
            <w:r>
              <w:rPr>
                <w:rFonts w:ascii="Arial" w:cs="Arial" w:hAnsi="Arial"/>
                <w:b/>
                <w:bCs/>
                <w:color w:val="7F8C8D"/>
                <w:sz w:val="18"/>
                <w:szCs w:val="18"/>
                <w:rtl/>
              </w:rPr>
              <w:t xml:space="preserve">☐ </w:t>
            </w:r>
            <w:r>
              <w:rPr>
                <w:rFonts w:ascii="Arial" w:cs="Arial" w:hAnsi="Arial"/>
                <w:b w:val="false"/>
                <w:color w:val="1D2B36"/>
                <w:sz w:val="18"/>
                <w:szCs w:val="18"/>
                <w:rtl/>
              </w:rPr>
              <w:t xml:space="preserve">Reduced Costs (انخفاض التكاليف)</w:t>
            </w:r>
            <w:r>
              <w:rPr>
                <w:rFonts w:ascii="Arial" w:cs="Arial" w:hAnsi="Arial"/>
                <w:color w:val="5B6E7C"/>
                <w:sz w:val="16"/>
                <w:szCs w:val="16"/>
                <w:rtl/>
              </w:rPr>
              <w:t xml:space="preserve"> – لم نحسب وفورات مالية لأننا لم نقسها</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Reduced Risks (تقليل المخاطر)</w:t>
            </w:r>
            <w:r>
              <w:rPr>
                <w:rFonts w:ascii="Arial" w:cs="Arial" w:hAnsi="Arial"/>
                <w:color w:val="5B6E7C"/>
                <w:sz w:val="16"/>
                <w:szCs w:val="16"/>
                <w:rtl/>
              </w:rPr>
              <w:t xml:space="preserve"> – برفع الكفاءة المعرفية للكادر</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Reduced Effort (تقليل المجهود)</w:t>
            </w:r>
            <w:r>
              <w:rPr>
                <w:rFonts w:ascii="Arial" w:cs="Arial" w:hAnsi="Arial"/>
                <w:color w:val="5B6E7C"/>
                <w:sz w:val="16"/>
                <w:szCs w:val="16"/>
                <w:rtl/>
              </w:rPr>
              <w:t xml:space="preserve"> – نصف جلسات 2025 كانت تكرارًا، والمحتوى المسجّل يغني عنه</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Add Improvement (Process / Time) (تحسين عملية – وقت)</w:t>
            </w:r>
            <w:r>
              <w:rPr>
                <w:rFonts w:ascii="Arial" w:cs="Arial" w:hAnsi="Arial"/>
                <w:color w:val="5B6E7C"/>
                <w:sz w:val="16"/>
                <w:szCs w:val="16"/>
                <w:rtl/>
              </w:rPr>
              <w:t xml:space="preserve"> – مسار تعلّم مرن متاح في أي وقت</w:t>
            </w:r>
          </w:p>
          <w:p>
            <w:pPr>
              <w:bidi/>
              <w:spacing w:after="20" w:before="0" w:line="260"/>
            </w:pPr>
            <w:r>
              <w:rPr>
                <w:rFonts w:ascii="Arial" w:cs="Arial" w:hAnsi="Arial"/>
                <w:b/>
                <w:bCs/>
                <w:color w:val="0E8A8A"/>
                <w:sz w:val="18"/>
                <w:szCs w:val="18"/>
                <w:rtl/>
              </w:rPr>
              <w:t xml:space="preserve">☑ </w:t>
            </w:r>
            <w:r>
              <w:rPr>
                <w:rFonts w:ascii="Arial" w:cs="Arial" w:hAnsi="Arial"/>
                <w:b/>
                <w:bCs/>
                <w:color w:val="1D2B36"/>
                <w:sz w:val="18"/>
                <w:szCs w:val="18"/>
                <w:rtl/>
              </w:rPr>
              <w:t xml:space="preserve">Others (أخرى):</w:t>
            </w:r>
            <w:r>
              <w:rPr>
                <w:rFonts w:ascii="Arial" w:cs="Arial" w:hAnsi="Arial"/>
                <w:color w:val="5B6E7C"/>
                <w:sz w:val="16"/>
                <w:szCs w:val="16"/>
                <w:rtl/>
              </w:rPr>
              <w:t xml:space="preserve"> رضا المستخدمين 94.7% · قياس منظّم لأثر التعلّم · قابلية التعميم</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40" w:before="0" w:line="260"/>
            </w:pPr>
            <w:r>
              <w:rPr>
                <w:rFonts w:ascii="Arial" w:cs="Arial" w:hAnsi="Arial"/>
                <w:b/>
                <w:bCs/>
                <w:color w:val="1F4E9E"/>
                <w:sz w:val="18"/>
                <w:szCs w:val="18"/>
                <w:rtl/>
              </w:rPr>
              <w:t xml:space="preserve">Add Comments / Illustration – تعليق أو شرح</w:t>
            </w:r>
          </w:p>
          <w:p>
            <w:pPr>
              <w:bidi/>
              <w:spacing w:after="40" w:before="0" w:line="260"/>
              <w:jc w:val="both"/>
            </w:pPr>
            <w:r>
              <w:rPr>
                <w:rFonts w:ascii="Arial" w:cs="Arial" w:hAnsi="Arial"/>
                <w:color w:val="1D2B36"/>
                <w:sz w:val="18"/>
                <w:szCs w:val="18"/>
                <w:rtl/>
              </w:rPr>
              <w:t xml:space="preserve">ننظر إلى قيمة هذا المشروع من زاوية </w:t>
            </w:r>
            <w:r>
              <w:rPr>
                <w:rFonts w:ascii="Arial" w:cs="Arial" w:hAnsi="Arial"/>
                <w:b/>
                <w:bCs/>
                <w:color w:val="1D2B36"/>
                <w:sz w:val="18"/>
                <w:szCs w:val="18"/>
                <w:rtl/>
              </w:rPr>
              <w:t xml:space="preserve">الرعاية الصحية القائمة على القيمة (Value-Based Health Care)</w:t>
            </w:r>
            <w:r>
              <w:rPr>
                <w:rFonts w:ascii="Arial" w:cs="Arial" w:hAnsi="Arial"/>
                <w:color w:val="1D2B36"/>
                <w:sz w:val="18"/>
                <w:szCs w:val="18"/>
                <w:rtl/>
              </w:rPr>
              <w:t xml:space="preserve">، التي تقيس القيمة بالنتائج مقارنةً بتكلفة تحقيقها (Porter, 2010). النتائج ارتفعت (إنجاز 100% وتحسّن معرفي 12.21 نقطة)، والجهد المتكرر انخفض، لأن المحاضرة المسجلة تُصنع مرة واحدة ويستفيد منها الجميع دون أن نسحب أحدًا من مناوبته.</w:t>
            </w:r>
          </w:p>
        </w:tc>
      </w:tr>
      <w:tr>
        <w:trPr>
          <w:cantSplit/>
        </w:trPr>
        <w:tc>
          <w:tcPr>
            <w:tcW w:type="dxa" w:w="5906"/>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60" w:before="0" w:line="260"/>
            </w:pPr>
            <w:r>
              <w:rPr>
                <w:rFonts w:ascii="Arial" w:cs="Arial" w:hAnsi="Arial"/>
                <w:b/>
                <w:bCs/>
                <w:color w:val="0B3C5D"/>
                <w:sz w:val="20"/>
                <w:szCs w:val="20"/>
                <w:rtl/>
              </w:rPr>
              <w:t xml:space="preserve">صوت المستفيد (Voice of the Customer)</w:t>
            </w:r>
          </w:p>
          <w:p>
            <w:pPr>
              <w:bidi/>
              <w:spacing w:after="40" w:before="0" w:line="260"/>
              <w:jc w:val="both"/>
            </w:pPr>
            <w:r>
              <w:rPr>
                <w:rFonts w:ascii="Arial" w:cs="Arial" w:hAnsi="Arial"/>
                <w:color w:val="1D2B36"/>
                <w:sz w:val="18"/>
                <w:szCs w:val="18"/>
                <w:rtl/>
              </w:rPr>
              <w:t xml:space="preserve">قيّم المستخدمون المنصة في خمسة جوانب، وجاء المتوسط العام </w:t>
            </w:r>
            <w:r>
              <w:rPr>
                <w:rFonts w:ascii="Arial" w:cs="Arial" w:hAnsi="Arial"/>
                <w:b/>
                <w:bCs/>
                <w:color w:val="1D2B36"/>
                <w:sz w:val="18"/>
                <w:szCs w:val="18"/>
                <w:rtl/>
              </w:rPr>
              <w:t xml:space="preserve">4.73 من 5</w:t>
            </w:r>
            <w:r>
              <w:rPr>
                <w:rFonts w:ascii="Arial" w:cs="Arial" w:hAnsi="Arial"/>
                <w:color w:val="1D2B36"/>
                <w:sz w:val="18"/>
                <w:szCs w:val="18"/>
                <w:rtl/>
              </w:rPr>
              <w:t xml:space="preserve">. لم يختر أحد «محايد» أو «غير موافق»، ونال وضوح التصميم الدرجة الكاملة (5.00).</w:t>
            </w:r>
          </w:p>
          <w:p>
            <w:pPr>
              <w:bidi/>
              <w:spacing w:after="40" w:before="0" w:line="260"/>
              <w:jc w:val="both"/>
            </w:pPr>
            <w:r>
              <w:rPr>
                <w:rFonts w:ascii="Arial" w:cs="Arial" w:hAnsi="Arial"/>
                <w:b/>
                <w:bCs/>
                <w:color w:val="0E8A8A"/>
                <w:sz w:val="18"/>
                <w:szCs w:val="18"/>
                <w:rtl/>
              </w:rPr>
              <w:t xml:space="preserve">«سهلت علينا حضور المحاضرات في الأوقات اللي تناسبنا حتى نركز ونحصل على المعلومة بشكل واضح… استفدت منه أكثر من المحاضرات الأونلاين» – من ردود المستخدمين</w:t>
            </w:r>
          </w:p>
          <w:p>
            <w:pPr>
              <w:bidi/>
              <w:spacing w:after="0" w:before="0" w:line="260"/>
              <w:jc w:val="both"/>
            </w:pPr>
            <w:r>
              <w:rPr>
                <w:rFonts w:ascii="Arial" w:cs="Arial" w:hAnsi="Arial"/>
                <w:color w:val="5B6E7C"/>
                <w:sz w:val="16"/>
                <w:szCs w:val="16"/>
                <w:rtl/>
              </w:rPr>
              <w:t xml:space="preserve">أخذنا ملاحظاتهم بجدية: إعادة تشغيل الفيديو، وسرعة التحميل، وطول المقاطع، وطلب محتوى عن الأدوية، وكلها دخلت في خطة الدورة القادمة.</w:t>
            </w:r>
          </w:p>
        </w:tc>
        <w:tc>
          <w:tcPr>
            <w:tcW w:type="dxa" w:w="44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spacing w:after="0"/>
              <w:jc w:val="center"/>
            </w:pPr>
            <w:r>
              <w:drawing>
                <wp:inline distT="0" distB="0" distL="0" distR="0">
                  <wp:extent cx="27146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14625" cy="1695450"/>
                          </a:xfrm>
                          <a:prstGeom prst="rect">
                            <a:avLst/>
                          </a:prstGeom>
                        </pic:spPr>
                      </pic:pic>
                    </a:graphicData>
                  </a:graphic>
                </wp:inline>
              </w:drawing>
            </w:r>
          </w:p>
        </w:tc>
      </w:tr>
      <w:tr>
        <w:trPr>
          <w:cantSplit/>
        </w:trPr>
        <w:tc>
          <w:tcPr>
            <w:tcW w:type="dxa" w:w="10306"/>
            <w:gridSpan w:val="2"/>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tbl>
            <w:tblPr>
              <w:bidiVisual/>
              <w:tblW w:type="dxa" w:w="1008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686"/>
            </w:tblGrid>
            <w:tr>
              <w:trPr>
                <w:cantSplit/>
              </w:trPr>
              <w:tc>
                <w:tcPr>
                  <w:tcW w:type="dxa" w:w="210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بُعد الجودة (دليل المسابقة)</w:t>
                  </w:r>
                </w:p>
              </w:tc>
              <w:tc>
                <w:tcPr>
                  <w:tcW w:type="dxa" w:w="4300"/>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التحسن المتحقق</w:t>
                  </w:r>
                </w:p>
              </w:tc>
              <w:tc>
                <w:tcPr>
                  <w:tcW w:type="dxa" w:w="3686"/>
                  <w:tcBorders>
                    <w:top w:val="single" w:color="7F9DB5" w:sz="6"/>
                    <w:left w:val="single" w:color="7F9DB5" w:sz="6"/>
                    <w:bottom w:val="single" w:color="7F9DB5" w:sz="6"/>
                    <w:right w:val="single" w:color="7F9DB5" w:sz="6"/>
                  </w:tcBorders>
                  <w:shd w:fill="0B3C5D"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FFFFFF"/>
                      <w:sz w:val="17"/>
                      <w:szCs w:val="17"/>
                      <w:rtl/>
                    </w:rPr>
                    <w:t xml:space="preserve">الدليل / المقياس</w:t>
                  </w:r>
                </w:p>
              </w:tc>
            </w:tr>
            <w:tr>
              <w:trPr>
                <w:cantSplit/>
              </w:trPr>
              <w:tc>
                <w:tcPr>
                  <w:tcW w:type="dxa" w:w="2100"/>
                  <w:tcBorders>
                    <w:top w:val="single" w:color="7F9DB5" w:sz="6"/>
                    <w:left w:val="single" w:color="7F9DB5" w:sz="6"/>
                    <w:bottom w:val="single" w:color="7F9DB5" w:sz="6"/>
                    <w:right w:val="single" w:color="7F9DB5" w:sz="6"/>
                  </w:tcBorders>
                  <w:shd w:fill="F3F8FB"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الفاعلية (Effectiveness)</w:t>
                  </w:r>
                </w:p>
              </w:tc>
              <w:tc>
                <w:tcPr>
                  <w:tcW w:type="dxa" w:w="43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both"/>
                  </w:pPr>
                  <w:r>
                    <w:rPr>
                      <w:rFonts w:ascii="Arial" w:cs="Arial" w:hAnsi="Arial"/>
                      <w:color w:val="1D2B36"/>
                      <w:sz w:val="17"/>
                      <w:szCs w:val="17"/>
                      <w:rtl/>
                    </w:rPr>
                    <w:t xml:space="preserve">حققنا المستهدفات الأكاديمية كاملة، وارتفعت معرفة الكادر وبقيت معه بعد التدريب.</w:t>
                  </w:r>
                </w:p>
              </w:tc>
              <w:tc>
                <w:tcPr>
                  <w:tcW w:type="dxa" w:w="368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E8A8A"/>
                      <w:sz w:val="17"/>
                      <w:szCs w:val="17"/>
                      <w:rtl/>
                    </w:rPr>
                    <w:t xml:space="preserve">100% إنجاز · +12.21 ن.م · احتفاظ 85.68%</w:t>
                  </w:r>
                </w:p>
              </w:tc>
            </w:tr>
            <w:tr>
              <w:trPr>
                <w:cantSplit/>
              </w:trPr>
              <w:tc>
                <w:tcPr>
                  <w:tcW w:type="dxa" w:w="2100"/>
                  <w:tcBorders>
                    <w:top w:val="single" w:color="7F9DB5" w:sz="6"/>
                    <w:left w:val="single" w:color="7F9DB5" w:sz="6"/>
                    <w:bottom w:val="single" w:color="7F9DB5" w:sz="6"/>
                    <w:right w:val="single" w:color="7F9DB5" w:sz="6"/>
                  </w:tcBorders>
                  <w:shd w:fill="F3F8FB"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الكفاءة (Efficiency)</w:t>
                  </w:r>
                </w:p>
              </w:tc>
              <w:tc>
                <w:tcPr>
                  <w:tcW w:type="dxa" w:w="43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both"/>
                  </w:pPr>
                  <w:r>
                    <w:rPr>
                      <w:rFonts w:ascii="Arial" w:cs="Arial" w:hAnsi="Arial"/>
                      <w:color w:val="1D2B36"/>
                      <w:sz w:val="17"/>
                      <w:szCs w:val="17"/>
                      <w:rtl/>
                    </w:rPr>
                    <w:t xml:space="preserve">نسجّل المحاضرة مرة واحدة ويستفيد منها الكادر كله والموظفون الجدد، فلا حاجة إلى إعادة المحاضرات ولا إلى تنسيق مواعيد البث في كل مرة.</w:t>
                  </w:r>
                </w:p>
              </w:tc>
              <w:tc>
                <w:tcPr>
                  <w:tcW w:type="dxa" w:w="368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E8A8A"/>
                      <w:sz w:val="17"/>
                      <w:szCs w:val="17"/>
                      <w:rtl/>
                    </w:rPr>
                    <w:t xml:space="preserve">خطة 2025: 106 جلسات لـ53 موضوعًا (نصفها تكرار) · للموضوعات الـ12: نحو 24 جلسة مباشرة سنويًا مقابل 5 محاضرات مسجلة (تقديري)</w:t>
                  </w:r>
                </w:p>
              </w:tc>
            </w:tr>
            <w:tr>
              <w:trPr>
                <w:cantSplit/>
              </w:trPr>
              <w:tc>
                <w:tcPr>
                  <w:tcW w:type="dxa" w:w="2100"/>
                  <w:tcBorders>
                    <w:top w:val="single" w:color="7F9DB5" w:sz="6"/>
                    <w:left w:val="single" w:color="7F9DB5" w:sz="6"/>
                    <w:bottom w:val="single" w:color="7F9DB5" w:sz="6"/>
                    <w:right w:val="single" w:color="7F9DB5" w:sz="6"/>
                  </w:tcBorders>
                  <w:shd w:fill="F3F8FB"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محورية المستفيد (Patient / Staff Centered)</w:t>
                  </w:r>
                </w:p>
              </w:tc>
              <w:tc>
                <w:tcPr>
                  <w:tcW w:type="dxa" w:w="43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both"/>
                  </w:pPr>
                  <w:r>
                    <w:rPr>
                      <w:rFonts w:ascii="Arial" w:cs="Arial" w:hAnsi="Arial"/>
                      <w:color w:val="1D2B36"/>
                      <w:sz w:val="17"/>
                      <w:szCs w:val="17"/>
                      <w:rtl/>
                    </w:rPr>
                    <w:t xml:space="preserve">يتعلّم كل ممرض وممرضة في الوقت الذي يناسبه، دون أن يترك مناوبته أو عيادته، ودون أن يتأثر المرضى.</w:t>
                  </w:r>
                </w:p>
              </w:tc>
              <w:tc>
                <w:tcPr>
                  <w:tcW w:type="dxa" w:w="368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E8A8A"/>
                      <w:sz w:val="17"/>
                      <w:szCs w:val="17"/>
                      <w:rtl/>
                    </w:rPr>
                    <w:t xml:space="preserve">رضا 4.73 من 5 (94.7%) · استخدام 81.8% (45/55)</w:t>
                  </w:r>
                </w:p>
              </w:tc>
            </w:tr>
            <w:tr>
              <w:trPr>
                <w:cantSplit/>
              </w:trPr>
              <w:tc>
                <w:tcPr>
                  <w:tcW w:type="dxa" w:w="2100"/>
                  <w:tcBorders>
                    <w:top w:val="single" w:color="7F9DB5" w:sz="6"/>
                    <w:left w:val="single" w:color="7F9DB5" w:sz="6"/>
                    <w:bottom w:val="single" w:color="7F9DB5" w:sz="6"/>
                    <w:right w:val="single" w:color="7F9DB5" w:sz="6"/>
                  </w:tcBorders>
                  <w:shd w:fill="F3F8FB" w:color="auto" w:val="clear"/>
                  <w:tcMar>
                    <w:top w:type="dxa" w:w="60"/>
                    <w:left w:type="dxa" w:w="100"/>
                    <w:bottom w:type="dxa" w:w="60"/>
                    <w:right w:type="dxa" w:w="100"/>
                  </w:tcMar>
                  <w:vAlign w:val="center"/>
                </w:tcPr>
                <w:p>
                  <w:pPr>
                    <w:bidi/>
                    <w:spacing w:after="0" w:before="0" w:line="260"/>
                  </w:pPr>
                  <w:r>
                    <w:rPr>
                      <w:rFonts w:ascii="Arial" w:cs="Arial" w:hAnsi="Arial"/>
                      <w:b/>
                      <w:bCs/>
                      <w:color w:val="0B3C5D"/>
                      <w:sz w:val="17"/>
                      <w:szCs w:val="17"/>
                      <w:rtl/>
                    </w:rPr>
                    <w:t xml:space="preserve">السلامة (Safety) – غير مباشر</w:t>
                  </w:r>
                </w:p>
              </w:tc>
              <w:tc>
                <w:tcPr>
                  <w:tcW w:type="dxa" w:w="4300"/>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jc w:val="both"/>
                  </w:pPr>
                  <w:r>
                    <w:rPr>
                      <w:rFonts w:ascii="Arial" w:cs="Arial" w:hAnsi="Arial"/>
                      <w:color w:val="1D2B36"/>
                      <w:sz w:val="17"/>
                      <w:szCs w:val="17"/>
                      <w:rtl/>
                    </w:rPr>
                    <w:t xml:space="preserve">رفعنا الجاهزية المعرفية في مجالات تمس سلامة المرضى، مثل العلاج الوريدي وتحليل الأسباب الجذرية.</w:t>
                  </w:r>
                </w:p>
              </w:tc>
              <w:tc>
                <w:tcPr>
                  <w:tcW w:type="dxa" w:w="3686"/>
                  <w:tcBorders>
                    <w:top w:val="single" w:color="7F9DB5" w:sz="6"/>
                    <w:left w:val="single" w:color="7F9DB5" w:sz="6"/>
                    <w:bottom w:val="single" w:color="7F9DB5" w:sz="6"/>
                    <w:right w:val="single" w:color="7F9DB5" w:sz="6"/>
                  </w:tcBorders>
                  <w:tcMar>
                    <w:top w:type="dxa" w:w="60"/>
                    <w:left w:type="dxa" w:w="100"/>
                    <w:bottom w:type="dxa" w:w="60"/>
                    <w:right w:type="dxa" w:w="100"/>
                  </w:tcMar>
                  <w:vAlign w:val="center"/>
                </w:tcPr>
                <w:p>
                  <w:pPr>
                    <w:bidi/>
                    <w:spacing w:after="0" w:before="0" w:line="260"/>
                  </w:pPr>
                  <w:r>
                    <w:rPr>
                      <w:rFonts w:ascii="Arial" w:cs="Arial" w:hAnsi="Arial"/>
                      <w:b/>
                      <w:bCs/>
                      <w:color w:val="0E8A8A"/>
                      <w:sz w:val="17"/>
                      <w:szCs w:val="17"/>
                      <w:rtl/>
                    </w:rPr>
                    <w:t xml:space="preserve">نتائج الاختبارات حسب الموضوع (الأثر السريري لم يُقس مباشرة)</w:t>
                  </w:r>
                </w:p>
              </w:tc>
            </w:tr>
          </w:tbl>
          <w:p/>
        </w:tc>
      </w:tr>
      <w:tr>
        <w:trPr>
          <w:cantSplit/>
        </w:trPr>
        <w:tc>
          <w:tcPr>
            <w:tcW w:type="dxa" w:w="10306"/>
            <w:gridSpan w:val="2"/>
            <w:tcBorders>
              <w:top w:val="single" w:color="7F9DB5" w:sz="6"/>
              <w:left w:val="single" w:color="7F9DB5" w:sz="6"/>
              <w:bottom w:val="single" w:color="7F9DB5" w:sz="6"/>
              <w:right w:val="single" w:color="7F9DB5" w:sz="6"/>
            </w:tcBorders>
            <w:shd w:fill="F3F8FB" w:color="auto" w:val="clear"/>
            <w:tcMar>
              <w:top w:type="dxa" w:w="60"/>
              <w:left w:type="dxa" w:w="100"/>
              <w:bottom w:type="dxa" w:w="60"/>
              <w:right w:type="dxa" w:w="100"/>
            </w:tcMar>
            <w:vAlign w:val="top"/>
          </w:tcPr>
          <w:p>
            <w:pPr>
              <w:bidi/>
              <w:spacing w:after="20" w:before="0" w:line="260"/>
            </w:pPr>
            <w:r>
              <w:rPr>
                <w:rFonts w:ascii="Arial" w:cs="Arial" w:hAnsi="Arial"/>
                <w:b/>
                <w:bCs/>
                <w:color w:val="0B3C5D"/>
                <w:sz w:val="16"/>
                <w:szCs w:val="16"/>
                <w:rtl/>
              </w:rPr>
              <w:t xml:space="preserve">الأسس العلمية والمرجعية</w:t>
            </w:r>
          </w:p>
          <w:p>
            <w:pPr>
              <w:spacing w:after="0" w:line="220"/>
              <w:jc w:val="left"/>
            </w:pPr>
            <w:r>
              <w:rPr>
                <w:rFonts w:ascii="Arial" w:cs="Arial" w:eastAsia="Arial" w:hAnsi="Arial"/>
                <w:color w:val="44556A"/>
                <w:sz w:val="14"/>
                <w:szCs w:val="14"/>
              </w:rPr>
              <w:t xml:space="preserve">1. Batalden PB, Stoltz PK. A framework for the continual improvement of health care. Jt Comm J Qual Improv. 1993;19(10):432-452.</w:t>
            </w:r>
          </w:p>
          <w:p>
            <w:pPr>
              <w:spacing w:after="0" w:line="220"/>
              <w:jc w:val="left"/>
            </w:pPr>
            <w:r>
              <w:rPr>
                <w:rFonts w:ascii="Arial" w:cs="Arial" w:eastAsia="Arial" w:hAnsi="Arial"/>
                <w:color w:val="44556A"/>
                <w:sz w:val="14"/>
                <w:szCs w:val="14"/>
              </w:rPr>
              <w:t xml:space="preserve">2. Langley GJ, Moen RD, Nolan KM, et al. The Improvement Guide. 2nd ed. San Francisco: Jossey-Bass; 2009.</w:t>
            </w:r>
          </w:p>
          <w:p>
            <w:pPr>
              <w:spacing w:after="0" w:line="220"/>
              <w:jc w:val="left"/>
            </w:pPr>
            <w:r>
              <w:rPr>
                <w:rFonts w:ascii="Arial" w:cs="Arial" w:eastAsia="Arial" w:hAnsi="Arial"/>
                <w:color w:val="44556A"/>
                <w:sz w:val="14"/>
                <w:szCs w:val="14"/>
              </w:rPr>
              <w:t xml:space="preserve">3. Institute of Medicine. Crossing the Quality Chasm: A New Health System for the 21st Century. Washington, DC: National Academies Press; 2001.</w:t>
            </w:r>
          </w:p>
          <w:p>
            <w:pPr>
              <w:spacing w:after="0" w:line="220"/>
              <w:jc w:val="left"/>
            </w:pPr>
            <w:r>
              <w:rPr>
                <w:rFonts w:ascii="Arial" w:cs="Arial" w:eastAsia="Arial" w:hAnsi="Arial"/>
                <w:color w:val="44556A"/>
                <w:sz w:val="14"/>
                <w:szCs w:val="14"/>
              </w:rPr>
              <w:t xml:space="preserve">4. Porter ME. What is value in health care? N Engl J Med. 2010;363(26):2477-2481.</w:t>
            </w:r>
          </w:p>
          <w:p>
            <w:pPr>
              <w:spacing w:after="0" w:line="220"/>
              <w:jc w:val="left"/>
            </w:pPr>
            <w:r>
              <w:rPr>
                <w:rFonts w:ascii="Arial" w:cs="Arial" w:eastAsia="Arial" w:hAnsi="Arial"/>
                <w:color w:val="44556A"/>
                <w:sz w:val="14"/>
                <w:szCs w:val="14"/>
              </w:rPr>
              <w:t xml:space="preserve">5. Kirkpatrick DL, Kirkpatrick JD. Evaluating Training Programs: The Four Levels. 3rd ed. San Francisco: Berrett-Koehler; 2006.</w:t>
            </w:r>
          </w:p>
          <w:p>
            <w:pPr>
              <w:spacing w:after="0" w:line="220"/>
              <w:jc w:val="left"/>
            </w:pPr>
            <w:r>
              <w:rPr>
                <w:rFonts w:ascii="Arial" w:cs="Arial" w:eastAsia="Arial" w:hAnsi="Arial"/>
                <w:color w:val="44556A"/>
                <w:sz w:val="14"/>
                <w:szCs w:val="14"/>
              </w:rPr>
              <w:t xml:space="preserve">6. Liu Q, Peng W, Zhang F, et al. The effectiveness of blended learning in health professions: systematic review and meta-analysis. J Med Internet Res. 2016;18(1):e2.</w:t>
            </w:r>
          </w:p>
          <w:p>
            <w:pPr>
              <w:spacing w:after="0" w:line="220"/>
              <w:jc w:val="left"/>
            </w:pPr>
            <w:r>
              <w:rPr>
                <w:rFonts w:ascii="Arial" w:cs="Arial" w:eastAsia="Arial" w:hAnsi="Arial"/>
                <w:color w:val="44556A"/>
                <w:sz w:val="14"/>
                <w:szCs w:val="14"/>
              </w:rPr>
              <w:t xml:space="preserve">7. Provost LP, Murray SK. The Health Care Data Guide: Learning from Data for Improvement. San Francisco: Jossey-Bass; 2011.</w:t>
            </w:r>
          </w:p>
        </w:tc>
      </w:tr>
    </w:tbl>
    <w:p>
      <w:pPr>
        <w:bidi/>
        <w:spacing w:after="60" w:before="0" w:line="260"/>
      </w:pPr>
      <w:r>
        <w:rPr>
          <w:rFonts w:ascii="Arial" w:cs="Arial" w:hAnsi="Arial"/>
          <w:color w:val="1D2B36"/>
          <w:sz w:val="18"/>
          <w:szCs w:val="18"/>
          <w:rtl/>
        </w:rPr>
        <w:t xml:space="preserve"/>
      </w:r>
    </w:p>
    <w:tbl>
      <w:tblPr>
        <w:bidiVisual/>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Project Lead Team Members</w:t>
            </w:r>
          </w:p>
          <w:p>
            <w:pPr>
              <w:bidi/>
              <w:spacing w:after="0" w:before="0" w:line="260"/>
              <w:jc w:val="center"/>
            </w:pPr>
            <w:r>
              <w:rPr>
                <w:rFonts w:ascii="Arial" w:cs="Arial" w:hAnsi="Arial"/>
                <w:b/>
                <w:bCs/>
                <w:color w:val="0B3C5D"/>
                <w:sz w:val="17"/>
                <w:szCs w:val="17"/>
                <w:rtl/>
              </w:rPr>
              <w:t xml:space="preserve">قائد الفريق</w:t>
            </w:r>
          </w:p>
        </w:tc>
        <w:tc>
          <w:tcPr>
            <w:tcW w:type="dxa" w:w="5153"/>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Team Members</w:t>
            </w:r>
          </w:p>
          <w:p>
            <w:pPr>
              <w:bidi/>
              <w:spacing w:after="0" w:before="0" w:line="260"/>
              <w:jc w:val="center"/>
            </w:pPr>
            <w:r>
              <w:rPr>
                <w:rFonts w:ascii="Arial" w:cs="Arial" w:hAnsi="Arial"/>
                <w:b/>
                <w:bCs/>
                <w:color w:val="0B3C5D"/>
                <w:sz w:val="17"/>
                <w:szCs w:val="17"/>
                <w:rtl/>
              </w:rPr>
              <w:t xml:space="preserve">أعضاء الفريق</w:t>
            </w:r>
          </w:p>
        </w:tc>
      </w:tr>
      <w:tr>
        <w:trPr>
          <w:cantSplit/>
        </w:trPr>
        <w:tc>
          <w:tcPr>
            <w:tcW w:type="dxa" w:w="5153"/>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40" w:before="0" w:line="260"/>
            </w:pPr>
            <w:r>
              <w:rPr>
                <w:rFonts w:ascii="Arial" w:cs="Arial" w:hAnsi="Arial"/>
                <w:b/>
                <w:bCs/>
                <w:color w:val="1D2B36"/>
                <w:sz w:val="18"/>
                <w:szCs w:val="18"/>
                <w:rtl/>
              </w:rPr>
              <w:t xml:space="preserve">مشرفة التدريب والتعليم التمريضي – قائدة المشروع</w:t>
            </w:r>
          </w:p>
          <w:p>
            <w:pPr>
              <w:bidi/>
              <w:spacing w:after="40" w:before="0" w:line="260"/>
            </w:pPr>
            <w:r>
              <w:rPr>
                <w:rFonts w:ascii="Arial" w:cs="Arial" w:hAnsi="Arial"/>
                <w:color w:val="1D2B36"/>
                <w:sz w:val="18"/>
                <w:szCs w:val="18"/>
                <w:rtl/>
              </w:rPr>
              <w:t xml:space="preserve">الاسم: ..................................................</w:t>
            </w:r>
          </w:p>
        </w:tc>
        <w:tc>
          <w:tcPr>
            <w:tcW w:type="dxa" w:w="5153"/>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40" w:before="0" w:line="260"/>
            </w:pPr>
            <w:r>
              <w:rPr>
                <w:rFonts w:ascii="Arial" w:cs="Arial" w:hAnsi="Arial"/>
                <w:color w:val="1D2B36"/>
                <w:sz w:val="18"/>
                <w:szCs w:val="18"/>
                <w:rtl/>
              </w:rPr>
              <w:t xml:space="preserve">1. المطوّر التقني – برمجة المنصة الإلكترونية (دور داعم)</w:t>
            </w:r>
          </w:p>
          <w:p>
            <w:pPr>
              <w:bidi/>
              <w:spacing w:after="40" w:before="0" w:line="260"/>
            </w:pPr>
            <w:r>
              <w:rPr>
                <w:rFonts w:ascii="Arial" w:cs="Arial" w:hAnsi="Arial"/>
                <w:color w:val="1D2B36"/>
                <w:sz w:val="18"/>
                <w:szCs w:val="18"/>
                <w:rtl/>
              </w:rPr>
              <w:t xml:space="preserve">2. ..................................................</w:t>
            </w:r>
          </w:p>
        </w:tc>
      </w:tr>
      <w:tr>
        <w:trPr>
          <w:cantSplit/>
        </w:trPr>
        <w:tc>
          <w:tcPr>
            <w:tcW w:type="dxa" w:w="5153"/>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Hospital Manager's Name</w:t>
            </w:r>
          </w:p>
          <w:p>
            <w:pPr>
              <w:bidi/>
              <w:spacing w:after="0" w:before="0" w:line="260"/>
              <w:jc w:val="center"/>
            </w:pPr>
            <w:r>
              <w:rPr>
                <w:rFonts w:ascii="Arial" w:cs="Arial" w:hAnsi="Arial"/>
                <w:b/>
                <w:bCs/>
                <w:color w:val="0B3C5D"/>
                <w:sz w:val="17"/>
                <w:szCs w:val="17"/>
                <w:rtl/>
              </w:rPr>
              <w:t xml:space="preserve">مدير المستشفى / الجهة</w:t>
            </w:r>
          </w:p>
        </w:tc>
        <w:tc>
          <w:tcPr>
            <w:tcW w:type="dxa" w:w="5153"/>
            <w:tcBorders>
              <w:top w:val="single" w:color="7F9DB5" w:sz="6"/>
              <w:left w:val="single" w:color="7F9DB5" w:sz="6"/>
              <w:bottom w:val="single" w:color="7F9DB5" w:sz="6"/>
              <w:right w:val="single" w:color="7F9DB5" w:sz="6"/>
            </w:tcBorders>
            <w:shd w:fill="00A3E0" w:color="auto" w:val="clear"/>
            <w:tcMar>
              <w:top w:type="dxa" w:w="60"/>
              <w:left w:type="dxa" w:w="100"/>
              <w:bottom w:type="dxa" w:w="60"/>
              <w:right w:type="dxa" w:w="100"/>
            </w:tcMar>
            <w:vAlign w:val="center"/>
          </w:tcPr>
          <w:p>
            <w:pPr>
              <w:bidi/>
              <w:spacing w:after="0" w:before="0" w:line="260"/>
              <w:jc w:val="center"/>
            </w:pPr>
            <w:r>
              <w:rPr>
                <w:rFonts w:ascii="Arial" w:cs="Arial" w:hAnsi="Arial"/>
                <w:b/>
                <w:bCs/>
                <w:color w:val="0B3C5D"/>
                <w:sz w:val="18"/>
                <w:szCs w:val="18"/>
                <w:rtl/>
              </w:rPr>
              <w:t xml:space="preserve">Approval / Signature</w:t>
            </w:r>
          </w:p>
          <w:p>
            <w:pPr>
              <w:bidi/>
              <w:spacing w:after="0" w:before="0" w:line="260"/>
              <w:jc w:val="center"/>
            </w:pPr>
            <w:r>
              <w:rPr>
                <w:rFonts w:ascii="Arial" w:cs="Arial" w:hAnsi="Arial"/>
                <w:b/>
                <w:bCs/>
                <w:color w:val="0B3C5D"/>
                <w:sz w:val="17"/>
                <w:szCs w:val="17"/>
                <w:rtl/>
              </w:rPr>
              <w:t xml:space="preserve">الاعتماد / التوقيع</w:t>
            </w:r>
          </w:p>
        </w:tc>
      </w:tr>
      <w:tr>
        <w:trPr>
          <w:cantSplit/>
        </w:trPr>
        <w:tc>
          <w:tcPr>
            <w:tcW w:type="dxa" w:w="5153"/>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160" w:before="160" w:line="260"/>
            </w:pPr>
            <w:r>
              <w:rPr>
                <w:rFonts w:ascii="Arial" w:cs="Arial" w:hAnsi="Arial"/>
                <w:color w:val="1D2B36"/>
                <w:sz w:val="18"/>
                <w:szCs w:val="18"/>
                <w:rtl/>
              </w:rPr>
              <w:t xml:space="preserve">..................................................</w:t>
            </w:r>
          </w:p>
        </w:tc>
        <w:tc>
          <w:tcPr>
            <w:tcW w:type="dxa" w:w="5153"/>
            <w:tcBorders>
              <w:top w:val="single" w:color="7F9DB5" w:sz="6"/>
              <w:left w:val="single" w:color="7F9DB5" w:sz="6"/>
              <w:bottom w:val="single" w:color="7F9DB5" w:sz="6"/>
              <w:right w:val="single" w:color="7F9DB5" w:sz="6"/>
            </w:tcBorders>
            <w:tcMar>
              <w:top w:type="dxa" w:w="60"/>
              <w:left w:type="dxa" w:w="100"/>
              <w:bottom w:type="dxa" w:w="60"/>
              <w:right w:type="dxa" w:w="100"/>
            </w:tcMar>
            <w:vAlign w:val="top"/>
          </w:tcPr>
          <w:p>
            <w:pPr>
              <w:bidi/>
              <w:spacing w:after="160" w:before="160" w:line="260"/>
            </w:pPr>
            <w:r>
              <w:rPr>
                <w:rFonts w:ascii="Arial" w:cs="Arial" w:hAnsi="Arial"/>
                <w:color w:val="1D2B36"/>
                <w:sz w:val="18"/>
                <w:szCs w:val="18"/>
                <w:rtl/>
              </w:rPr>
              <w:t xml:space="preserve">..................................................</w:t>
            </w:r>
          </w:p>
        </w:tc>
      </w:tr>
    </w:tbl>
    <w:sectPr>
      <w:headerReference w:type="default" r:id="rId7"/>
      <w:pgSz w:w="11906" w:h="16838" w:orient="portrait"/>
      <w:pgMar w:top="2700" w:right="800" w:bottom="1250" w:left="80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f66ceabdbb312dccda9d8c0488ddbf052e8f14d.png"/><Relationship Id="rId9" Type="http://schemas.openxmlformats.org/officeDocument/2006/relationships/image" Target="media/adbcecec940ddd4698a5ea543b46136e6795c8ec.png"/><Relationship Id="rId10" Type="http://schemas.openxmlformats.org/officeDocument/2006/relationships/image" Target="media/cf39c89cdf29eff1f78377f429d7e7620e303873.png"/><Relationship Id="rId11" Type="http://schemas.openxmlformats.org/officeDocument/2006/relationships/image" Target="media/e5744269a3381a3efc8012b70908a22a5546c0dd.png"/><Relationship Id="rId12" Type="http://schemas.openxmlformats.org/officeDocument/2006/relationships/image" Target="media/3d9f575233b6c189ba772a21cead63ac1427384b.png"/><Relationship Id="rId13" Type="http://schemas.openxmlformats.org/officeDocument/2006/relationships/image" Target="media/0c4138774e889c2ed91d523deba5c30a414c5aeb.png"/><Relationship Id="rId14" Type="http://schemas.openxmlformats.org/officeDocument/2006/relationships/image" Target="media/ef48e0c57b195e3d2f5dba88dea496641cf8ecaa.png"/><Relationship Id="rId15" Type="http://schemas.openxmlformats.org/officeDocument/2006/relationships/image" Target="media/f37b934d9f8de558e8b539bcc621940ddc1c074d.png"/><Relationship Id="rId16" Type="http://schemas.openxmlformats.org/officeDocument/2006/relationships/image" Target="media/70daa5cd9ac078e265ded2bb15d8bac9e0f9c30c.png"/><Relationship Id="rId17" Type="http://schemas.openxmlformats.org/officeDocument/2006/relationships/image" Target="media/6d4daeb38ffe37431229e4e04b735976216c882c.png"/><Relationship Id="rId18" Type="http://schemas.openxmlformats.org/officeDocument/2006/relationships/image" Target="media/13161d2e0a666806114735ebbde6ed05ce0992ab.png"/><Relationship Id="rId19" Type="http://schemas.openxmlformats.org/officeDocument/2006/relationships/image" Target="media/f4a4fbe5f9fcafac0c5f5f0956bb43f823e07cab.png"/><Relationship Id="rId20" Type="http://schemas.openxmlformats.org/officeDocument/2006/relationships/image" Target="media/e6eb57def2db11e9d22c1d350268213f1764b2c5.png"/><Relationship Id="rId21" Type="http://schemas.openxmlformats.org/officeDocument/2006/relationships/image" Target="media/ee221de0244f70b6a604146564f4b5962dd368c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8c37f177f9a821a73f013242ba398f611c96ca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2026-10-25T22:12:26.670Z</dcterms:created>
  <dcterms:modified xsi:type="dcterms:W3CDTF">2026-10-25T22:12:26.679Z</dcterms:modified>
</cp:coreProperties>
</file>

<file path=docProps/custom.xml><?xml version="1.0" encoding="utf-8"?>
<Properties xmlns="http://schemas.openxmlformats.org/officeDocument/2006/custom-properties" xmlns:vt="http://schemas.openxmlformats.org/officeDocument/2006/docPropsVTypes"/>
</file>