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p14">
  <w:body>
    <w:p w14:paraId="2E8DF4E2" w14:textId="77777777">
      <w:pPr>
        <w:ind w:firstLine="6441"/>
        <w:jc w:val="center"/>
        <w:rPr>
          <w:b/>
          <w:szCs w:val="24"/>
          <w:lang w:eastAsia="lt-LT"/>
        </w:rPr>
      </w:pPr>
      <w:r>
        <w:rPr>
          <w:b/>
          <w:szCs w:val="24"/>
          <w:lang w:eastAsia="lt-LT"/>
        </w:rPr>
        <w:t>Projektas </w:t>
      </w:r>
    </w:p>
    <w:p w14:paraId="16F85B7E" w14:textId="77777777">
      <w:pPr>
        <w:jc w:val="center"/>
        <w:rPr>
          <w:rFonts w:ascii="Arial" w:hAnsi="Arial" w:cs="Arial"/>
          <w:b/>
          <w:sz w:val="20"/>
          <w:lang w:eastAsia="lt-LT"/>
        </w:rPr>
      </w:pPr>
    </w:p>
    <w:p w14:paraId="50DABEFF" w14:textId="77777777">
      <w:pPr>
        <w:jc w:val="center"/>
        <w:rPr>
          <w:rFonts w:ascii="Arial" w:hAnsi="Arial" w:cs="Arial"/>
          <w:b/>
          <w:sz w:val="20"/>
          <w:lang w:eastAsia="lt-LT"/>
        </w:rPr>
      </w:pPr>
    </w:p>
    <w:p w14:paraId="72DE2EC0" w14:textId="16D55DA6">
      <w:pPr>
        <w:jc w:val="center"/>
        <w:rPr>
          <w:b/>
          <w:bCs/>
          <w:caps/>
          <w:szCs w:val="24"/>
          <w:lang w:eastAsia="lt-LT"/>
        </w:rPr>
      </w:pPr>
      <w:r>
        <w:rPr>
          <w:b/>
          <w:bCs/>
          <w:caps/>
          <w:szCs w:val="24"/>
          <w:lang w:eastAsia="lt-LT"/>
        </w:rPr>
        <w:t>Lietuvos Respublikos Vyriausybė</w:t>
      </w:r>
    </w:p>
    <w:p w14:paraId="2F65F083" w14:textId="77777777">
      <w:pPr>
        <w:jc w:val="center"/>
        <w:rPr>
          <w:b/>
          <w:caps/>
          <w:szCs w:val="24"/>
          <w:lang w:eastAsia="lt-LT"/>
        </w:rPr>
      </w:pPr>
    </w:p>
    <w:p w14:paraId="503C90FE" w14:textId="3E932E59">
      <w:pPr>
        <w:ind w:firstLine="720"/>
        <w:jc w:val="center"/>
        <w:rPr>
          <w:b/>
          <w:caps/>
          <w:szCs w:val="24"/>
        </w:rPr>
      </w:pPr>
      <w:r>
        <w:rPr>
          <w:b/>
          <w:caps/>
          <w:szCs w:val="24"/>
        </w:rPr>
        <w:t>nutarimas</w:t>
      </w:r>
    </w:p>
    <w:p w14:paraId="2AF4858E" w14:textId="0A6A2F5D">
      <w:pPr>
        <w:jc w:val="center"/>
        <w:rPr>
          <w:b/>
          <w:szCs w:val="24"/>
          <w:lang w:eastAsia="lt-LT"/>
        </w:rPr>
      </w:pPr>
      <w:r>
        <w:rPr>
          <w:b/>
          <w:szCs w:val="24"/>
          <w:lang w:eastAsia="lt-LT"/>
        </w:rPr>
        <w:t>DĖL NACIONALINIAM SAUGUMUI UŽTIKRINTI SVARBIŲ OBJEKTŲ APSAUGOS KOORDINAVIMO KOMISIJOS SUDARYMO</w:t>
      </w:r>
    </w:p>
    <w:p w14:paraId="2EF1AB52" w14:textId="77777777">
      <w:pPr>
        <w:jc w:val="center"/>
        <w:rPr>
          <w:szCs w:val="24"/>
          <w:lang w:eastAsia="lt-LT"/>
        </w:rPr>
      </w:pPr>
    </w:p>
    <w:p w14:paraId="1927E7CE" w14:textId="24177F9E">
      <w:pPr>
        <w:ind w:firstLine="782"/>
        <w:jc w:val="center"/>
        <w:rPr>
          <w:szCs w:val="24"/>
        </w:rPr>
      </w:pPr>
      <w:r>
        <w:rPr>
          <w:szCs w:val="24"/>
        </w:rPr>
        <w:t xml:space="preserve">2018 m.          d. Nr. </w:t>
      </w:r>
    </w:p>
    <w:p w14:paraId="3669AA0B" w14:textId="15D14884">
      <w:pPr>
        <w:jc w:val="center"/>
        <w:rPr>
          <w:szCs w:val="24"/>
          <w:lang w:eastAsia="lt-LT"/>
        </w:rPr>
      </w:pPr>
    </w:p>
    <w:p w14:paraId="2875B866" w14:textId="77777777">
      <w:pPr>
        <w:jc w:val="center"/>
        <w:rPr>
          <w:szCs w:val="24"/>
          <w:lang w:eastAsia="lt-LT"/>
        </w:rPr>
      </w:pPr>
      <w:r>
        <w:rPr>
          <w:szCs w:val="24"/>
          <w:lang w:eastAsia="lt-LT"/>
        </w:rPr>
        <w:t>Vilnius</w:t>
      </w:r>
    </w:p>
    <w:p w14:paraId="472FE11E" w14:textId="77777777">
      <w:pPr>
        <w:ind w:firstLine="62"/>
        <w:jc w:val="center"/>
        <w:rPr>
          <w:szCs w:val="24"/>
          <w:lang w:eastAsia="lt-LT"/>
        </w:rPr>
      </w:pPr>
    </w:p>
    <w:p w14:paraId="7E164250" w14:textId="4A98D973">
      <w:pPr>
        <w:spacing w:line="360" w:lineRule="auto"/>
        <w:ind w:firstLine="720"/>
        <w:jc w:val="both"/>
        <w:rPr>
          <w:szCs w:val="24"/>
          <w:lang w:eastAsia="lt-LT"/>
        </w:rPr>
      </w:pPr>
      <w:r>
        <w:rPr>
          <w:szCs w:val="24"/>
          <w:lang w:eastAsia="lt-LT"/>
        </w:rPr>
        <w:t xml:space="preserve">Vadovaudamasi Lietuvos Respublikos nacionaliniam saugumui užtikrinti svarbių objektų apsaugos įstatymo 19 straipsnio 1 dalimi, Lietuvos Respublikos Vyriausybė n u t a r i a: </w:t>
      </w:r>
    </w:p>
    <w:p w14:paraId="30D17EF7" w14:textId="5F229092">
      <w:pPr>
        <w:tabs>
          <w:tab w:val="left" w:pos="993"/>
        </w:tabs>
        <w:spacing w:line="360" w:lineRule="auto"/>
        <w:ind w:firstLine="720"/>
        <w:jc w:val="both"/>
        <w:rPr>
          <w:szCs w:val="24"/>
          <w:lang w:eastAsia="lt-LT"/>
        </w:rPr>
      </w:pPr>
      <w:r>
        <w:rPr>
          <w:szCs w:val="24"/>
          <w:lang w:eastAsia="lt-LT"/>
        </w:rPr>
        <w:t>1</w:t>
      </w:r>
      <w:r>
        <w:rPr>
          <w:szCs w:val="24"/>
          <w:lang w:eastAsia="lt-LT"/>
        </w:rPr>
        <w:t>.</w:t>
        <w:tab/>
        <w:t>Sudaryti šią Nacionaliniam saugumui užtikrinti svarbių objektų apsaugos koordinavimo komisiją (toliau – Komisija):</w:t>
      </w:r>
    </w:p>
    <w:p w14:paraId="7000A477" w14:textId="6E2861F0">
      <w:pPr>
        <w:spacing w:line="360" w:lineRule="auto"/>
        <w:ind w:firstLine="1080"/>
        <w:jc w:val="both"/>
        <w:rPr>
          <w:szCs w:val="24"/>
          <w:lang w:eastAsia="lt-LT"/>
        </w:rPr>
      </w:pPr>
      <w:r>
        <w:rPr>
          <w:szCs w:val="24"/>
          <w:lang w:eastAsia="lt-LT"/>
        </w:rPr>
        <w:t>Vyriausybės kanceliarijos atstovas (Komisijos pirmininkas);</w:t>
      </w:r>
    </w:p>
    <w:p w14:paraId="63B26828" w14:textId="1E422794">
      <w:pPr>
        <w:spacing w:line="360" w:lineRule="auto"/>
        <w:ind w:firstLine="1080"/>
        <w:jc w:val="both"/>
        <w:rPr>
          <w:szCs w:val="24"/>
          <w:lang w:eastAsia="lt-LT"/>
        </w:rPr>
      </w:pPr>
      <w:r>
        <w:rPr>
          <w:szCs w:val="24"/>
          <w:lang w:eastAsia="lt-LT"/>
        </w:rPr>
        <w:t>Lietuvos Respublikos energetikos ministerijos atstovas;</w:t>
      </w:r>
    </w:p>
    <w:p w14:paraId="4E52BB58" w14:textId="6AF5281D">
      <w:pPr>
        <w:spacing w:line="360" w:lineRule="auto"/>
        <w:ind w:firstLine="1080"/>
        <w:jc w:val="both"/>
        <w:rPr>
          <w:szCs w:val="24"/>
          <w:lang w:eastAsia="lt-LT"/>
        </w:rPr>
      </w:pPr>
      <w:r>
        <w:rPr>
          <w:szCs w:val="24"/>
          <w:lang w:eastAsia="lt-LT"/>
        </w:rPr>
        <w:t>Lietuvos Respublikos finansų ministerijos atstovas;</w:t>
      </w:r>
    </w:p>
    <w:p w14:paraId="6A00831A" w14:textId="5A10C816">
      <w:pPr>
        <w:spacing w:line="360" w:lineRule="auto"/>
        <w:ind w:firstLine="1080"/>
        <w:jc w:val="both"/>
        <w:rPr>
          <w:szCs w:val="24"/>
          <w:lang w:eastAsia="lt-LT"/>
        </w:rPr>
      </w:pPr>
      <w:r>
        <w:rPr>
          <w:szCs w:val="24"/>
          <w:lang w:eastAsia="lt-LT"/>
        </w:rPr>
        <w:t>Lietuvos Respublikos krašto apsaugos ministerijos atstovas;</w:t>
      </w:r>
    </w:p>
    <w:p w14:paraId="1DF4D33D" w14:textId="50D8CF08">
      <w:pPr>
        <w:spacing w:line="360" w:lineRule="auto"/>
        <w:ind w:firstLine="1080"/>
        <w:jc w:val="both"/>
        <w:rPr>
          <w:szCs w:val="24"/>
          <w:lang w:eastAsia="lt-LT"/>
        </w:rPr>
      </w:pPr>
      <w:r>
        <w:rPr>
          <w:szCs w:val="24"/>
          <w:lang w:eastAsia="lt-LT"/>
        </w:rPr>
        <w:t>Lietuvos Respublikos kultūros ministerijos atstovas;</w:t>
      </w:r>
    </w:p>
    <w:p w14:paraId="30B25E74" w14:textId="288B33FC">
      <w:pPr>
        <w:spacing w:line="360" w:lineRule="auto"/>
        <w:ind w:firstLine="1080"/>
        <w:jc w:val="both"/>
        <w:rPr>
          <w:szCs w:val="24"/>
          <w:lang w:eastAsia="lt-LT"/>
        </w:rPr>
      </w:pPr>
      <w:r>
        <w:rPr>
          <w:szCs w:val="24"/>
          <w:lang w:eastAsia="lt-LT"/>
        </w:rPr>
        <w:t>Lietuvos Respublikos susisiekimo ministerijos atstovas;</w:t>
      </w:r>
    </w:p>
    <w:p w14:paraId="45DE5218" w14:textId="7F56085C">
      <w:pPr>
        <w:spacing w:line="360" w:lineRule="auto"/>
        <w:ind w:firstLine="1080"/>
        <w:jc w:val="both"/>
        <w:rPr>
          <w:szCs w:val="24"/>
          <w:lang w:eastAsia="lt-LT"/>
        </w:rPr>
      </w:pPr>
      <w:r>
        <w:rPr>
          <w:szCs w:val="24"/>
          <w:lang w:eastAsia="lt-LT"/>
        </w:rPr>
        <w:t>Lietuvos Respublikos ūkio ministerijos atstovas;</w:t>
      </w:r>
    </w:p>
    <w:p w14:paraId="7D004745" w14:textId="6352827F">
      <w:pPr>
        <w:spacing w:line="360" w:lineRule="auto"/>
        <w:ind w:firstLine="1080"/>
        <w:jc w:val="both"/>
        <w:rPr>
          <w:szCs w:val="24"/>
          <w:lang w:eastAsia="lt-LT"/>
        </w:rPr>
      </w:pPr>
      <w:r>
        <w:rPr>
          <w:szCs w:val="24"/>
          <w:lang w:eastAsia="lt-LT"/>
        </w:rPr>
        <w:t>Lietuvos Respublikos užsienio reikalų ministerijos atstovas;</w:t>
      </w:r>
    </w:p>
    <w:p w14:paraId="0EBB1921" w14:textId="6F651DB2">
      <w:pPr>
        <w:spacing w:line="360" w:lineRule="auto"/>
        <w:ind w:firstLine="1080"/>
        <w:jc w:val="both"/>
        <w:rPr>
          <w:szCs w:val="24"/>
          <w:lang w:eastAsia="lt-LT"/>
        </w:rPr>
      </w:pPr>
      <w:r>
        <w:rPr>
          <w:szCs w:val="24"/>
          <w:lang w:eastAsia="lt-LT"/>
        </w:rPr>
        <w:t>Lietuvos Respublikos vidaus reikalų ministerijos atstovas;</w:t>
      </w:r>
    </w:p>
    <w:p w14:paraId="3ABFD297" w14:textId="77777777">
      <w:pPr>
        <w:spacing w:line="360" w:lineRule="auto"/>
        <w:ind w:firstLine="1080"/>
        <w:jc w:val="both"/>
        <w:rPr>
          <w:szCs w:val="24"/>
          <w:lang w:eastAsia="lt-LT"/>
        </w:rPr>
      </w:pPr>
      <w:r>
        <w:rPr>
          <w:szCs w:val="24"/>
          <w:lang w:eastAsia="lt-LT"/>
        </w:rPr>
        <w:t>Lietuvos banko atstovas;</w:t>
      </w:r>
    </w:p>
    <w:p w14:paraId="6BFECF42" w14:textId="77777777">
      <w:pPr>
        <w:spacing w:line="360" w:lineRule="auto"/>
        <w:ind w:firstLine="1080"/>
        <w:jc w:val="both"/>
        <w:rPr>
          <w:szCs w:val="24"/>
          <w:lang w:eastAsia="lt-LT"/>
        </w:rPr>
      </w:pPr>
      <w:r>
        <w:rPr>
          <w:szCs w:val="24"/>
          <w:lang w:eastAsia="lt-LT"/>
        </w:rPr>
        <w:t>Lietuvos Respublikos generalinės prokuratūros atstovas;</w:t>
      </w:r>
    </w:p>
    <w:p w14:paraId="2962001A" w14:textId="77777777">
      <w:pPr>
        <w:spacing w:line="360" w:lineRule="auto"/>
        <w:ind w:firstLine="1080"/>
        <w:jc w:val="both"/>
        <w:rPr>
          <w:szCs w:val="24"/>
          <w:lang w:eastAsia="lt-LT"/>
        </w:rPr>
      </w:pPr>
      <w:r>
        <w:rPr>
          <w:szCs w:val="24"/>
          <w:lang w:eastAsia="lt-LT"/>
        </w:rPr>
        <w:t>Lietuvos Respublikos specialiųjų tyrimų tarnybos atstovas;</w:t>
      </w:r>
    </w:p>
    <w:p w14:paraId="2FAAB94B" w14:textId="77777777">
      <w:pPr>
        <w:spacing w:line="360" w:lineRule="auto"/>
        <w:ind w:firstLine="1080"/>
        <w:jc w:val="both"/>
        <w:rPr>
          <w:szCs w:val="24"/>
          <w:lang w:eastAsia="lt-LT"/>
        </w:rPr>
      </w:pPr>
      <w:r>
        <w:rPr>
          <w:szCs w:val="24"/>
          <w:lang w:eastAsia="lt-LT"/>
        </w:rPr>
        <w:t>Lietuvos Respublikos valstybės saugumo departamento atstovas;</w:t>
      </w:r>
    </w:p>
    <w:p w14:paraId="43932F8A" w14:textId="77777777">
      <w:pPr>
        <w:spacing w:line="360" w:lineRule="auto"/>
        <w:ind w:firstLine="1080"/>
        <w:jc w:val="both"/>
        <w:rPr>
          <w:szCs w:val="24"/>
          <w:lang w:eastAsia="lt-LT"/>
        </w:rPr>
      </w:pPr>
      <w:r>
        <w:rPr>
          <w:szCs w:val="24"/>
          <w:lang w:eastAsia="lt-LT"/>
        </w:rPr>
        <w:t>Policijos departamento prie Lietuvos Respublikos vidaus reikalų ministerijos atstovas.</w:t>
      </w:r>
    </w:p>
    <w:p w14:paraId="52F8B242" w14:textId="147F635A">
      <w:pPr>
        <w:tabs>
          <w:tab w:val="left" w:pos="1134"/>
        </w:tabs>
        <w:spacing w:line="360" w:lineRule="auto"/>
        <w:ind w:firstLine="720"/>
        <w:jc w:val="both"/>
        <w:rPr>
          <w:szCs w:val="24"/>
          <w:lang w:eastAsia="lt-LT"/>
        </w:rPr>
      </w:pPr>
      <w:r>
        <w:rPr>
          <w:szCs w:val="24"/>
          <w:lang w:eastAsia="lt-LT"/>
        </w:rPr>
        <w:t>2</w:t>
      </w:r>
      <w:r>
        <w:rPr>
          <w:szCs w:val="24"/>
          <w:lang w:eastAsia="lt-LT"/>
        </w:rPr>
        <w:t>.</w:t>
        <w:tab/>
        <w:t>Nustatyti, kad Lietuvos Respublikos kultūros ministerijos atstovas dalyvauja Komisijos veikloje, kai renkama informacija dėl transliuotojų ir (ar) retransliuotojų, užsakomųjų visuomenės informavimo audiovizualinėmis priemonėmis paslaugų teikėjų, televizijos programų ir (ar) atskirų programų platinimo internete paslaugų teikėjų, pareiškėjų, norinčių gauti transliavimo ir (ar) retransliuojamo turinio licenciją, asmenų, ketinančių įsigyti transliavimo ar retransliuojamo turinio licencijos turėtojo akcijas (dalis, pajus) ir (ar) kontrolę (valdymą), ir su jais susijusių asmenų atitikties Lietuvos Respublikos visuomenės informavimo įstatymo 22 straipsnio 5 dalies 4 ir 5 punktuose, 31 straipsnio 11 dalies 4 ir 5 punktuose, 33 straipsnio 2 dalies 4 ir 5 punktuose numatytoms aplinkybėms.</w:t>
      </w:r>
    </w:p>
    <w:p w14:paraId="682EAB8B" w14:textId="4B78A94A">
      <w:pPr>
        <w:spacing w:line="360" w:lineRule="auto"/>
        <w:ind w:firstLine="720"/>
        <w:jc w:val="both"/>
        <w:rPr>
          <w:szCs w:val="24"/>
          <w:lang w:eastAsia="lt-LT"/>
        </w:rPr>
      </w:pPr>
      <w:r>
        <w:rPr>
          <w:szCs w:val="24"/>
          <w:lang w:eastAsia="lt-LT"/>
        </w:rPr>
        <w:t>3</w:t>
      </w:r>
      <w:r>
        <w:rPr>
          <w:szCs w:val="24"/>
          <w:lang w:eastAsia="lt-LT"/>
        </w:rPr>
        <w:t>. Nustatyti, kad:</w:t>
      </w:r>
    </w:p>
    <w:p w14:paraId="304BCC5F" w14:textId="127ECF07">
      <w:pPr>
        <w:spacing w:line="360" w:lineRule="auto"/>
        <w:ind w:firstLine="720"/>
        <w:jc w:val="both"/>
        <w:rPr>
          <w:szCs w:val="24"/>
          <w:lang w:eastAsia="lt-LT"/>
        </w:rPr>
      </w:pPr>
      <w:r>
        <w:rPr>
          <w:szCs w:val="24"/>
          <w:lang w:eastAsia="lt-LT"/>
        </w:rPr>
        <w:t>3.1</w:t>
      </w:r>
      <w:r>
        <w:rPr>
          <w:szCs w:val="24"/>
          <w:lang w:eastAsia="lt-LT"/>
        </w:rPr>
        <w:t>. laikinai negalint eiti 1 punkte nurodytos Komisijos nario pareigų (dėl ligos, atostogų, komandiruočių ar kitų svarbių priežasčių),  jį pavaduoja atitinkamos institucijos pakaitinis komisijos narys;</w:t>
      </w:r>
    </w:p>
    <w:p w14:paraId="66EC2337" w14:textId="6115F559">
      <w:pPr>
        <w:spacing w:line="360" w:lineRule="auto"/>
        <w:ind w:firstLine="720"/>
        <w:jc w:val="both"/>
        <w:rPr>
          <w:szCs w:val="24"/>
          <w:lang w:eastAsia="lt-LT"/>
        </w:rPr>
      </w:pPr>
      <w:r>
        <w:rPr>
          <w:szCs w:val="24"/>
          <w:lang w:eastAsia="lt-LT"/>
        </w:rPr>
        <w:t>3.2</w:t>
      </w:r>
      <w:r>
        <w:rPr>
          <w:szCs w:val="24"/>
          <w:lang w:eastAsia="lt-LT"/>
        </w:rPr>
        <w:t xml:space="preserve">. personalinę Komisijos sudėtį tvirtina Ministras Pirmininkas. </w:t>
      </w:r>
    </w:p>
    <w:p w14:paraId="01B46983" w14:textId="0027ECD6">
      <w:pPr>
        <w:ind w:firstLine="720"/>
        <w:jc w:val="both"/>
        <w:rPr>
          <w:szCs w:val="24"/>
          <w:lang w:eastAsia="lt-LT"/>
        </w:rPr>
      </w:pPr>
      <w:r>
        <w:rPr>
          <w:szCs w:val="24"/>
          <w:lang w:eastAsia="lt-LT"/>
        </w:rPr>
        <w:t>4</w:t>
      </w:r>
      <w:r>
        <w:rPr>
          <w:szCs w:val="24"/>
          <w:lang w:eastAsia="lt-LT"/>
        </w:rPr>
        <w:t xml:space="preserve">. Šis nutarimas įsigalioja 2018 m. kovo 1 d. </w:t>
      </w:r>
    </w:p>
    <w:p w14:paraId="7649FEA2" w14:textId="77777777">
      <w:pPr>
        <w:ind w:firstLine="720"/>
        <w:jc w:val="both"/>
        <w:rPr>
          <w:szCs w:val="24"/>
          <w:lang w:eastAsia="lt-LT"/>
        </w:rPr>
      </w:pPr>
    </w:p>
    <w:p w14:paraId="16B57755" w14:textId="77777777">
      <w:pPr>
        <w:jc w:val="both"/>
        <w:rPr>
          <w:szCs w:val="24"/>
          <w:lang w:eastAsia="lt-LT"/>
        </w:rPr>
      </w:pPr>
    </w:p>
    <w:p w14:paraId="4AAFA416" w14:textId="77777777">
      <w:pPr>
        <w:jc w:val="both"/>
        <w:rPr>
          <w:szCs w:val="24"/>
          <w:lang w:eastAsia="lt-LT"/>
        </w:rPr>
      </w:pPr>
    </w:p>
    <w:p w14:paraId="4F36CEA4" w14:textId="77777777">
      <w:pPr>
        <w:jc w:val="both"/>
        <w:rPr>
          <w:szCs w:val="24"/>
          <w:lang w:eastAsia="lt-LT"/>
        </w:rPr>
      </w:pPr>
    </w:p>
    <w:p w14:paraId="04A25627" w14:textId="77777777">
      <w:pPr>
        <w:jc w:val="both"/>
        <w:rPr>
          <w:szCs w:val="24"/>
          <w:lang w:eastAsia="lt-LT"/>
        </w:rPr>
      </w:pPr>
    </w:p>
    <w:p w14:paraId="62CFD136" w14:textId="77777777">
      <w:pPr>
        <w:jc w:val="both"/>
        <w:rPr>
          <w:szCs w:val="24"/>
          <w:lang w:eastAsia="lt-LT"/>
        </w:rPr>
      </w:pPr>
    </w:p>
    <w:p w14:paraId="5999E38D" w14:textId="77777777">
      <w:pPr>
        <w:jc w:val="both"/>
        <w:rPr>
          <w:szCs w:val="24"/>
          <w:lang w:eastAsia="lt-LT"/>
        </w:rPr>
      </w:pPr>
    </w:p>
    <w:p w14:paraId="7FBB7761" w14:textId="77777777">
      <w:pPr>
        <w:jc w:val="both"/>
        <w:rPr>
          <w:szCs w:val="24"/>
          <w:lang w:eastAsia="lt-LT"/>
        </w:rPr>
      </w:pPr>
    </w:p>
    <w:p w14:paraId="55DFB84D" w14:textId="77777777">
      <w:pPr>
        <w:jc w:val="both"/>
        <w:rPr>
          <w:szCs w:val="24"/>
          <w:lang w:eastAsia="lt-LT"/>
        </w:rPr>
      </w:pPr>
    </w:p>
    <w:p w14:paraId="014080AA" w14:textId="3B766E99">
      <w:pPr>
        <w:jc w:val="both"/>
        <w:rPr>
          <w:szCs w:val="24"/>
          <w:lang w:eastAsia="lt-LT"/>
        </w:rPr>
      </w:pPr>
      <w:r>
        <w:rPr>
          <w:szCs w:val="24"/>
          <w:lang w:eastAsia="lt-LT"/>
        </w:rPr>
        <w:t xml:space="preserve">Ministras Pirmininkas </w:t>
      </w:r>
    </w:p>
    <w:p w14:paraId="3635F470" w14:textId="77777777">
      <w:pPr>
        <w:ind w:firstLine="720"/>
        <w:jc w:val="both"/>
        <w:rPr>
          <w:szCs w:val="24"/>
          <w:lang w:eastAsia="lt-LT"/>
        </w:rPr>
      </w:pPr>
    </w:p>
    <w:p w14:paraId="320E50F4" w14:textId="6A447CCD">
      <w:pPr>
        <w:jc w:val="both"/>
        <w:rPr>
          <w:szCs w:val="24"/>
          <w:lang w:eastAsia="lt-LT"/>
        </w:rPr>
      </w:pPr>
      <w:r>
        <w:rPr>
          <w:szCs w:val="24"/>
          <w:lang w:eastAsia="lt-LT"/>
        </w:rPr>
        <w:t>Ūkio ministras</w:t>
      </w:r>
    </w:p>
    <w:sectPr>
      <w:pgSz w:w="11906" w:h="16838"/>
      <w:pgMar w:top="1701" w:right="567" w:bottom="1134" w:left="1701" w:header="567" w:footer="567" w:gutter="0"/>
      <w:cols w:space="1296"/>
      <w:docGrid w:linePitch="360"/>
    </w:sectPr>
  </w:body>
</w:document>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zoom w:percent="100"/>
  <w:defaultTabStop w:val="1296"/>
  <w:hyphenationZone w:val="396"/>
  <w:doNotHyphenateCaps/>
  <w:noPunctuationKerning/>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F6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0B7B2"/>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divs>
    <w:div w:id="49498641">
      <w:bodyDiv w:val="1"/>
      <w:marLeft w:val="0"/>
      <w:marRight w:val="0"/>
      <w:marTop w:val="0"/>
      <w:marBottom w:val="0"/>
      <w:divBdr>
        <w:top w:val="none" w:sz="0" w:space="0" w:color="auto"/>
        <w:left w:val="none" w:sz="0" w:space="0" w:color="auto"/>
        <w:bottom w:val="none" w:sz="0" w:space="0" w:color="auto"/>
        <w:right w:val="none" w:sz="0" w:space="0" w:color="auto"/>
      </w:divBdr>
    </w:div>
    <w:div w:id="408771042">
      <w:bodyDiv w:val="1"/>
      <w:marLeft w:val="0"/>
      <w:marRight w:val="0"/>
      <w:marTop w:val="0"/>
      <w:marBottom w:val="0"/>
      <w:divBdr>
        <w:top w:val="none" w:sz="0" w:space="0" w:color="auto"/>
        <w:left w:val="none" w:sz="0" w:space="0" w:color="auto"/>
        <w:bottom w:val="none" w:sz="0" w:space="0" w:color="auto"/>
        <w:right w:val="none" w:sz="0" w:space="0" w:color="auto"/>
      </w:divBdr>
    </w:div>
    <w:div w:id="18184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2ABE7-4538-4B3F-8B3D-C2581038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2168</Characters>
  <Application>Microsoft Office Word</Application>
  <DocSecurity>4</DocSecurity>
  <Lines>60</Lines>
  <Paragraphs>33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Dėl Lietuvos Respublikos Vyriausybės strateginio komiteto sudarymo ir kai kurių Lietuvos Respublikos Vyriausybės nutarimų pripažinimo netekusiais galios (Dėl Lietuvos Respublikos Vyriausybės strateginio komiteto sudarymo)</vt:lpstr>
      <vt:lpstr>Dėl Lietuvos Respublikos Vyriausybės strateginio komiteto sudarymo ir kai kurių Lietuvos Respublikos Vyriausybės nutarimų pripažinimo netekusiais galios (Dėl Lietuvos Respublikos Vyriausybės strateginio komiteto sudarymo)</vt:lpstr>
    </vt:vector>
  </TitlesOfParts>
  <Company/>
  <LinksUpToDate>false</LinksUpToDate>
  <CharactersWithSpaces>2419</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2018-02-13T12:36:00Z</dcterms:created>
  <dc:creator>Dainius Žilinskas</dc:creator>
  <lastModifiedBy>adlibuser</lastModifiedBy>
  <lastPrinted>2018-02-12T11:19:00Z</lastPrinted>
  <dcterms:modified xsi:type="dcterms:W3CDTF">2018-02-13T12:36:00Z</dcterms:modified>
  <revision>2</revision>
  <dc:title>Dėl Lietuvos Respublikos Vyriausybės strateginio komiteto sudarymo ir kai kurių Lietuvos Respublikos Vyriausybės nutarimų pripažinimo netekusiais galios (Dėl Lietuvos Respublikos Vyriausybės strateginio komiteto sudarymo)</dc:title>
</coreProperties>
</file>