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3" Type="http://schemas.openxmlformats.org/officeDocument/2006/relationships/extended-properties" Target="docProps/app.xml"/>
  <Relationship Id="rId4" Type="http://schemas.openxmlformats.org/package/2006/relationships/metadata/core-properties" Target="docProps/core.xml"/>
</Relationships>

</file>

<file path=word/document.xml><?xml version="1.0" encoding="utf-8"?>
<w:document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taisx="http://lrs.lt/TAIS/DocPartXmlMarks" mc:Ignorable="w14 wp14">
  <w:body>
    <w:p>
      <w:pPr>
        <w:tabs>
          <w:tab w:val="center" w:pos="4819"/>
          <w:tab w:val="right" w:pos="9638"/>
        </w:tabs>
        <w:spacing w:line="259" w:lineRule="auto"/>
        <w:rPr>
          <w:sz w:val="22"/>
          <w:szCs w:val="22"/>
        </w:rPr>
      </w:pPr>
    </w:p>
    <w:p>
      <w:pPr>
        <w:rPr>
          <w:sz w:val="14"/>
          <w:szCs w:val="14"/>
        </w:rPr>
      </w:pPr>
    </w:p>
    <w:p>
      <w:pPr>
        <w:spacing w:line="276" w:lineRule="auto"/>
        <w:ind w:firstLine="744"/>
        <w:jc w:val="right"/>
        <w:rPr>
          <w:b/>
          <w:szCs w:val="24"/>
        </w:rPr>
      </w:pPr>
      <w:r>
        <w:rPr>
          <w:b/>
          <w:szCs w:val="24"/>
        </w:rPr>
        <w:t>Projektas</w:t>
      </w:r>
    </w:p>
    <w:p>
      <w:pPr>
        <w:spacing w:line="276" w:lineRule="auto"/>
        <w:ind w:firstLine="5970"/>
        <w:jc w:val="center"/>
        <w:rPr>
          <w:b/>
          <w:szCs w:val="24"/>
        </w:rPr>
      </w:pPr>
    </w:p>
    <w:p>
      <w:pPr>
        <w:spacing w:line="276" w:lineRule="auto"/>
        <w:jc w:val="center"/>
        <w:rPr>
          <w:b/>
          <w:szCs w:val="24"/>
        </w:rPr>
      </w:pPr>
      <w:r>
        <w:rPr>
          <w:b/>
          <w:szCs w:val="24"/>
        </w:rPr>
        <w:t>LIETUVOS RESPUBLIKOS</w:t>
      </w:r>
    </w:p>
    <w:p>
      <w:pPr>
        <w:spacing w:line="276" w:lineRule="auto"/>
        <w:jc w:val="center"/>
        <w:rPr>
          <w:b/>
          <w:szCs w:val="24"/>
        </w:rPr>
      </w:pPr>
      <w:r>
        <w:rPr>
          <w:b/>
          <w:szCs w:val="24"/>
        </w:rPr>
        <w:t>VALSTYBĖS IR SAVIVALDYBĖS ĮMONIŲ ĮSTATYMO NR. I–722</w:t>
      </w:r>
    </w:p>
    <w:p>
      <w:pPr>
        <w:spacing w:line="276" w:lineRule="auto"/>
        <w:jc w:val="center"/>
        <w:rPr>
          <w:b/>
          <w:szCs w:val="24"/>
        </w:rPr>
      </w:pPr>
      <w:r>
        <w:rPr>
          <w:b/>
          <w:szCs w:val="24"/>
        </w:rPr>
        <w:t xml:space="preserve">19 STRAIPSNIO PAKEITIMO IR ĮSTATYMO PAPILDYMO </w:t>
      </w:r>
      <w:r>
        <w:rPr>
          <w:b/>
          <w:szCs w:val="24"/>
          <w:lang w:eastAsia="lt-LT"/>
        </w:rPr>
        <w:t>22</w:t>
      </w:r>
      <w:r>
        <w:rPr>
          <w:b/>
          <w:szCs w:val="24"/>
          <w:vertAlign w:val="superscript"/>
          <w:lang w:eastAsia="lt-LT"/>
        </w:rPr>
        <w:t xml:space="preserve">1 </w:t>
      </w:r>
      <w:r>
        <w:rPr>
          <w:b/>
          <w:szCs w:val="24"/>
        </w:rPr>
        <w:t>STRAIPSNIU</w:t>
      </w:r>
    </w:p>
    <w:p>
      <w:pPr>
        <w:spacing w:line="276" w:lineRule="auto"/>
        <w:jc w:val="center"/>
        <w:rPr>
          <w:b/>
          <w:szCs w:val="24"/>
        </w:rPr>
      </w:pPr>
      <w:r>
        <w:rPr>
          <w:b/>
          <w:szCs w:val="24"/>
        </w:rPr>
        <w:t>ĮSTATYMAS</w:t>
      </w:r>
    </w:p>
    <w:p>
      <w:pPr>
        <w:spacing w:line="276" w:lineRule="auto"/>
        <w:rPr>
          <w:szCs w:val="24"/>
        </w:rPr>
      </w:pPr>
    </w:p>
    <w:p>
      <w:pPr>
        <w:spacing w:line="276" w:lineRule="auto"/>
        <w:jc w:val="center"/>
        <w:rPr>
          <w:szCs w:val="24"/>
        </w:rPr>
      </w:pPr>
      <w:r>
        <w:rPr>
          <w:szCs w:val="24"/>
        </w:rPr>
        <w:t xml:space="preserve">2018 m.                     d. Nr. </w:t>
      </w:r>
    </w:p>
    <w:p>
      <w:pPr>
        <w:spacing w:line="276" w:lineRule="auto"/>
        <w:jc w:val="center"/>
        <w:rPr>
          <w:szCs w:val="24"/>
        </w:rPr>
      </w:pPr>
      <w:r>
        <w:rPr>
          <w:szCs w:val="24"/>
        </w:rPr>
        <w:t>Vilnius</w:t>
      </w:r>
    </w:p>
    <w:p>
      <w:pPr>
        <w:spacing w:line="276" w:lineRule="auto"/>
        <w:jc w:val="both"/>
        <w:rPr>
          <w:b/>
          <w:bCs/>
          <w:szCs w:val="24"/>
        </w:rPr>
      </w:pPr>
    </w:p>
    <w:p>
      <w:pPr>
        <w:spacing w:line="276" w:lineRule="auto"/>
        <w:ind w:firstLine="720"/>
        <w:jc w:val="both"/>
        <w:rPr>
          <w:b/>
          <w:szCs w:val="24"/>
        </w:rPr>
      </w:pPr>
      <w:r>
        <w:rPr>
          <w:b/>
          <w:bCs/>
          <w:szCs w:val="24"/>
        </w:rPr>
        <w:t>1</w:t>
      </w:r>
      <w:r>
        <w:rPr>
          <w:b/>
          <w:bCs/>
          <w:szCs w:val="24"/>
        </w:rPr>
        <w:t xml:space="preserve"> straipsnis. </w:t>
      </w:r>
      <w:r>
        <w:rPr>
          <w:b/>
          <w:bCs/>
          <w:szCs w:val="24"/>
        </w:rPr>
        <w:t>19</w:t>
      </w:r>
      <w:r>
        <w:rPr>
          <w:b/>
          <w:szCs w:val="24"/>
        </w:rPr>
        <w:t xml:space="preserve"> straipsnio pakeitimas</w:t>
      </w:r>
    </w:p>
    <w:p>
      <w:pPr>
        <w:spacing w:line="276" w:lineRule="auto"/>
        <w:ind w:left="1080" w:hanging="360"/>
        <w:jc w:val="both"/>
        <w:rPr>
          <w:szCs w:val="24"/>
        </w:rPr>
      </w:pPr>
      <w:r>
        <w:rPr>
          <w:szCs w:val="24"/>
        </w:rPr>
        <w:t>1</w:t>
      </w:r>
      <w:r>
        <w:rPr>
          <w:szCs w:val="24"/>
        </w:rPr>
        <w:t>.</w:t>
        <w:tab/>
        <w:t>Papildyti 19 straipsnio 2 dalį nauju 4 punktu:</w:t>
      </w:r>
    </w:p>
    <w:p>
      <w:pPr>
        <w:spacing w:line="276" w:lineRule="auto"/>
        <w:ind w:firstLine="720"/>
        <w:jc w:val="both"/>
        <w:rPr>
          <w:color w:val="000000"/>
          <w:szCs w:val="24"/>
          <w:lang w:eastAsia="lt-LT"/>
        </w:rPr>
      </w:pPr>
      <w:r>
        <w:rPr>
          <w:color w:val="000000"/>
          <w:szCs w:val="24"/>
          <w:lang w:eastAsia="lt-LT"/>
        </w:rPr>
        <w:t>„</w:t>
      </w:r>
      <w:r>
        <w:rPr>
          <w:color w:val="000000"/>
          <w:szCs w:val="24"/>
          <w:lang w:eastAsia="lt-LT"/>
        </w:rPr>
        <w:t>4</w:t>
      </w:r>
      <w:r>
        <w:rPr>
          <w:color w:val="000000"/>
          <w:szCs w:val="24"/>
          <w:lang w:eastAsia="lt-LT"/>
        </w:rPr>
        <w:t>) į viešąją įstaigą.“</w:t>
      </w:r>
    </w:p>
    <w:p>
      <w:pPr>
        <w:spacing w:line="276" w:lineRule="auto"/>
        <w:ind w:left="1080" w:hanging="360"/>
        <w:jc w:val="both"/>
        <w:rPr>
          <w:color w:val="000000"/>
          <w:szCs w:val="24"/>
          <w:lang w:eastAsia="lt-LT"/>
        </w:rPr>
      </w:pPr>
      <w:r>
        <w:rPr>
          <w:color w:val="000000"/>
          <w:szCs w:val="24"/>
          <w:lang w:eastAsia="lt-LT"/>
        </w:rPr>
        <w:t>2</w:t>
      </w:r>
      <w:r>
        <w:rPr>
          <w:color w:val="000000"/>
          <w:szCs w:val="24"/>
          <w:lang w:eastAsia="lt-LT"/>
        </w:rPr>
        <w:t>.</w:t>
        <w:tab/>
        <w:t>Buvusius 19 straipsnio 2 dalies 4 ir 5 punktus laikyti atitinkamai 5 ir 6 punktais.</w:t>
      </w:r>
    </w:p>
    <w:p>
      <w:pPr>
        <w:spacing w:line="276" w:lineRule="auto"/>
        <w:ind w:firstLine="720"/>
        <w:jc w:val="both"/>
        <w:rPr>
          <w:szCs w:val="24"/>
        </w:rPr>
      </w:pPr>
    </w:p>
    <w:p>
      <w:pPr>
        <w:spacing w:line="276" w:lineRule="auto"/>
        <w:ind w:left="993" w:hanging="284"/>
        <w:jc w:val="both"/>
        <w:rPr>
          <w:szCs w:val="24"/>
          <w:lang w:eastAsia="lt-LT"/>
        </w:rPr>
      </w:pPr>
      <w:r>
        <w:rPr>
          <w:b/>
          <w:szCs w:val="24"/>
          <w:lang w:eastAsia="lt-LT"/>
        </w:rPr>
        <w:t>2</w:t>
      </w:r>
      <w:r>
        <w:rPr>
          <w:b/>
          <w:szCs w:val="24"/>
          <w:lang w:eastAsia="lt-LT"/>
        </w:rPr>
        <w:t xml:space="preserve"> </w:t>
      </w:r>
      <w:r>
        <w:rPr>
          <w:b/>
          <w:bCs/>
          <w:szCs w:val="24"/>
          <w:lang w:eastAsia="lt-LT"/>
        </w:rPr>
        <w:t>straipsnis. </w:t>
      </w:r>
      <w:r>
        <w:rPr>
          <w:b/>
          <w:bCs/>
          <w:szCs w:val="24"/>
          <w:lang w:eastAsia="lt-LT"/>
        </w:rPr>
        <w:t>Įstatymo papildymas 22</w:t>
      </w:r>
      <w:r>
        <w:rPr>
          <w:b/>
          <w:bCs/>
          <w:szCs w:val="24"/>
          <w:vertAlign w:val="superscript"/>
          <w:lang w:eastAsia="lt-LT"/>
        </w:rPr>
        <w:t xml:space="preserve">1 </w:t>
      </w:r>
      <w:r>
        <w:rPr>
          <w:b/>
          <w:bCs/>
          <w:szCs w:val="24"/>
          <w:lang w:eastAsia="lt-LT"/>
        </w:rPr>
        <w:t>straipsniu</w:t>
      </w:r>
    </w:p>
    <w:p>
      <w:pPr>
        <w:spacing w:line="276" w:lineRule="auto"/>
        <w:ind w:left="720" w:hanging="11"/>
        <w:jc w:val="both"/>
        <w:rPr>
          <w:szCs w:val="24"/>
          <w:lang w:eastAsia="lt-LT"/>
        </w:rPr>
      </w:pPr>
      <w:r>
        <w:rPr>
          <w:szCs w:val="24"/>
          <w:lang w:eastAsia="lt-LT"/>
        </w:rPr>
        <w:t>Papildyti įstatymą 22</w:t>
      </w:r>
      <w:r>
        <w:rPr>
          <w:szCs w:val="24"/>
          <w:vertAlign w:val="superscript"/>
          <w:lang w:eastAsia="lt-LT"/>
        </w:rPr>
        <w:t>1</w:t>
      </w:r>
      <w:r>
        <w:rPr>
          <w:szCs w:val="24"/>
          <w:lang w:eastAsia="lt-LT"/>
        </w:rPr>
        <w:t xml:space="preserve"> straipsniu:</w:t>
      </w:r>
    </w:p>
    <w:p>
      <w:pPr>
        <w:spacing w:line="276" w:lineRule="auto"/>
        <w:ind w:firstLine="709"/>
        <w:jc w:val="both"/>
        <w:rPr>
          <w:b/>
          <w:szCs w:val="24"/>
          <w:lang w:eastAsia="lt-LT"/>
        </w:rPr>
      </w:pPr>
      <w:r>
        <w:rPr>
          <w:szCs w:val="24"/>
          <w:lang w:eastAsia="lt-LT"/>
        </w:rPr>
        <w:t>„</w:t>
      </w:r>
      <w:r>
        <w:rPr>
          <w:b/>
          <w:szCs w:val="24"/>
          <w:lang w:eastAsia="lt-LT"/>
        </w:rPr>
        <w:t>22</w:t>
      </w:r>
      <w:r>
        <w:rPr>
          <w:b/>
          <w:szCs w:val="24"/>
          <w:vertAlign w:val="superscript"/>
          <w:lang w:eastAsia="lt-LT"/>
        </w:rPr>
        <w:t>1</w:t>
      </w:r>
      <w:r>
        <w:rPr>
          <w:b/>
          <w:szCs w:val="24"/>
          <w:lang w:eastAsia="lt-LT"/>
        </w:rPr>
        <w:t xml:space="preserve"> straipsnis. </w:t>
      </w:r>
      <w:r>
        <w:rPr>
          <w:b/>
          <w:color w:val="000000"/>
          <w:szCs w:val="24"/>
        </w:rPr>
        <w:t>Įmonės pertvarkymas į viešąją įstaigą</w:t>
      </w:r>
    </w:p>
    <w:p>
      <w:pPr>
        <w:widowControl w:val="0"/>
        <w:spacing w:line="276" w:lineRule="auto"/>
        <w:ind w:firstLine="720"/>
        <w:jc w:val="both"/>
        <w:rPr>
          <w:szCs w:val="24"/>
          <w:lang w:eastAsia="x-none"/>
        </w:rPr>
      </w:pPr>
      <w:r>
        <w:rPr>
          <w:szCs w:val="24"/>
          <w:lang w:eastAsia="x-none"/>
        </w:rPr>
        <w:t>1</w:t>
      </w:r>
      <w:r>
        <w:rPr>
          <w:szCs w:val="24"/>
          <w:lang w:eastAsia="x-none"/>
        </w:rPr>
        <w:t xml:space="preserve">. Įmonė, kurios turimų piniginių lėšų pakanka jos įsipareigojimams įvykdyti, gali būti pertvarkoma į viešąją įstaigą. </w:t>
      </w:r>
    </w:p>
    <w:p>
      <w:pPr>
        <w:widowControl w:val="0"/>
        <w:spacing w:line="276" w:lineRule="auto"/>
        <w:ind w:firstLine="720"/>
        <w:jc w:val="both"/>
        <w:rPr>
          <w:szCs w:val="24"/>
          <w:lang w:eastAsia="x-none"/>
        </w:rPr>
      </w:pPr>
      <w:r>
        <w:rPr>
          <w:color w:val="000000"/>
          <w:szCs w:val="24"/>
        </w:rPr>
        <w:t>2</w:t>
      </w:r>
      <w:r>
        <w:rPr>
          <w:color w:val="000000"/>
          <w:szCs w:val="24"/>
        </w:rPr>
        <w:t>. Iki sprendimo pertvarkyti įmonę į viešąją įstaigą priėmimo įmonės turtas, išskyrus turtą, kuris gali būti tik valstybės nuosavybė, turi būti įvertintas nepriklausomo turto vertintojo teisės aktų,</w:t>
      </w:r>
      <w:r>
        <w:rPr>
          <w:szCs w:val="24"/>
        </w:rPr>
        <w:t xml:space="preserve"> </w:t>
      </w:r>
      <w:r>
        <w:rPr>
          <w:color w:val="000000"/>
          <w:szCs w:val="24"/>
        </w:rPr>
        <w:t>reguliuojančių turto vertinimą, nustatyta tvarka. Pertvarkant įmonę į viešąją įstaigą, turto vertinimo ataskaita turi būti pateikta juridinių asmenų registrui.</w:t>
      </w:r>
    </w:p>
    <w:p>
      <w:pPr>
        <w:shd w:val="clear" w:color="auto" w:fill="FFFFFF"/>
        <w:spacing w:line="276" w:lineRule="auto"/>
        <w:ind w:firstLine="720"/>
        <w:jc w:val="both"/>
        <w:rPr>
          <w:color w:val="000000"/>
          <w:szCs w:val="24"/>
        </w:rPr>
      </w:pPr>
      <w:r>
        <w:rPr>
          <w:color w:val="000000"/>
          <w:szCs w:val="24"/>
        </w:rPr>
        <w:t>3</w:t>
      </w:r>
      <w:r>
        <w:rPr>
          <w:color w:val="000000"/>
          <w:szCs w:val="24"/>
        </w:rPr>
        <w:t xml:space="preserve">. Sprendimas pertvarkyti valstybės įmonę į viešąją įstaigą gali būti priimamas, kai yra Vyriausybės nutarimas dėl sutikimo pertvarkyti valstybės įmonę į viešąją įstaigą ir valstybės įmonei patikėjimo teise priklausančio viso ar dalies turto perdavimo viešosios įstaigos nuosavybėn Valstybės ir savivaldybių turto valdymo, naudojimo ir disponavimo juo įstatymo nustatytais pagrindais ir tvarka. </w:t>
      </w:r>
    </w:p>
    <w:p>
      <w:pPr>
        <w:shd w:val="clear" w:color="auto" w:fill="FFFFFF"/>
        <w:spacing w:line="276" w:lineRule="auto"/>
        <w:ind w:firstLine="720"/>
        <w:jc w:val="both"/>
        <w:rPr>
          <w:color w:val="000000"/>
          <w:szCs w:val="24"/>
        </w:rPr>
      </w:pPr>
      <w:r>
        <w:rPr>
          <w:color w:val="000000"/>
          <w:szCs w:val="24"/>
        </w:rPr>
        <w:t>4</w:t>
      </w:r>
      <w:r>
        <w:rPr>
          <w:color w:val="000000"/>
          <w:szCs w:val="24"/>
        </w:rPr>
        <w:t xml:space="preserve">. </w:t>
      </w:r>
      <w:r>
        <w:rPr>
          <w:szCs w:val="24"/>
        </w:rPr>
        <w:t>S</w:t>
      </w:r>
      <w:r>
        <w:rPr>
          <w:color w:val="000000"/>
          <w:szCs w:val="24"/>
        </w:rPr>
        <w:t>prendimas pertvarkyti savivaldybės įmonę į viešąją įstaigą gali būti priimamas, kai yra savivaldybės tarybos sprendimas dėl sutikimo pertvarkyti savivaldybės įmonę į viešąją įstaigą ir savivaldybės įmonei patikėjimo teise priklausančio viso ar dalies turto perdavimo viešosios įstaigos nuosavybėn Valstybės ir savivaldybių turto valdymo, naudojimo ir disponavimo juo įstatymo nustatytais pagrindais ir tvarka.</w:t>
      </w:r>
    </w:p>
    <w:p>
      <w:pPr>
        <w:shd w:val="clear" w:color="auto" w:fill="FFFFFF"/>
        <w:spacing w:line="276" w:lineRule="auto"/>
        <w:ind w:firstLine="720"/>
        <w:jc w:val="both"/>
        <w:rPr>
          <w:szCs w:val="24"/>
        </w:rPr>
      </w:pPr>
      <w:r>
        <w:rPr>
          <w:color w:val="000000"/>
          <w:szCs w:val="24"/>
        </w:rPr>
        <w:t>5</w:t>
      </w:r>
      <w:r>
        <w:rPr>
          <w:color w:val="000000"/>
          <w:szCs w:val="24"/>
        </w:rPr>
        <w:t>. Sprendime pertvarkyti įmonę į viešąją įstaigą, be šio Įstatymo 19 straipsnio 3 dalyje nustatytų reikalavimų, taip pat turi būti:</w:t>
      </w:r>
    </w:p>
    <w:p>
      <w:pPr>
        <w:shd w:val="clear" w:color="auto" w:fill="FFFFFF"/>
        <w:spacing w:line="276" w:lineRule="auto"/>
        <w:ind w:firstLine="720"/>
        <w:jc w:val="both"/>
        <w:rPr>
          <w:szCs w:val="24"/>
        </w:rPr>
      </w:pPr>
      <w:r>
        <w:rPr>
          <w:color w:val="000000"/>
          <w:szCs w:val="24"/>
        </w:rPr>
        <w:t>1</w:t>
      </w:r>
      <w:r>
        <w:rPr>
          <w:color w:val="000000"/>
          <w:szCs w:val="24"/>
        </w:rPr>
        <w:t>) nurodyta įvertinto įmonės turto vertė, kuri turi atitikti turto vertinimo ataskaitoje nurodytą turto vertę;</w:t>
      </w:r>
    </w:p>
    <w:p>
      <w:pPr>
        <w:spacing w:line="276" w:lineRule="auto"/>
        <w:ind w:firstLine="720"/>
        <w:jc w:val="both"/>
        <w:rPr>
          <w:color w:val="000000"/>
          <w:szCs w:val="24"/>
        </w:rPr>
      </w:pPr>
      <w:r>
        <w:rPr>
          <w:color w:val="000000"/>
          <w:szCs w:val="24"/>
        </w:rPr>
        <w:t>2</w:t>
      </w:r>
      <w:r>
        <w:rPr>
          <w:color w:val="000000"/>
          <w:szCs w:val="24"/>
        </w:rPr>
        <w:t xml:space="preserve">) nurodytas po pertvarkymo veiksiančios viešosios įstaigos dalininko (savininko) kapitalo dydis. </w:t>
      </w:r>
    </w:p>
    <w:p>
      <w:pPr>
        <w:spacing w:line="276" w:lineRule="auto"/>
        <w:ind w:firstLine="709"/>
        <w:jc w:val="both"/>
        <w:rPr>
          <w:szCs w:val="24"/>
          <w:lang w:val="x-none"/>
        </w:rPr>
      </w:pPr>
      <w:r>
        <w:rPr>
          <w:szCs w:val="24"/>
        </w:rPr>
        <w:t>6</w:t>
      </w:r>
      <w:r>
        <w:rPr>
          <w:szCs w:val="24"/>
          <w:lang w:val="x-none"/>
        </w:rPr>
        <w:t xml:space="preserve">. </w:t>
      </w:r>
      <w:r>
        <w:rPr>
          <w:szCs w:val="24"/>
        </w:rPr>
        <w:t>Dėl įmonės</w:t>
      </w:r>
      <w:r>
        <w:rPr>
          <w:szCs w:val="24"/>
          <w:lang w:val="x-none"/>
        </w:rPr>
        <w:t xml:space="preserve"> savininko </w:t>
      </w:r>
      <w:r>
        <w:rPr>
          <w:szCs w:val="24"/>
        </w:rPr>
        <w:t>turto</w:t>
      </w:r>
      <w:r>
        <w:rPr>
          <w:szCs w:val="24"/>
          <w:lang w:val="x-none"/>
        </w:rPr>
        <w:t xml:space="preserve">, </w:t>
      </w:r>
      <w:r>
        <w:rPr>
          <w:szCs w:val="24"/>
        </w:rPr>
        <w:t xml:space="preserve">kuris </w:t>
      </w:r>
      <w:r>
        <w:rPr>
          <w:szCs w:val="24"/>
          <w:lang w:val="x-none"/>
        </w:rPr>
        <w:t xml:space="preserve">patikėjimo teise įmonės gautas po to, kai buvo priimtas sprendimas pertvarkyti įmonę į </w:t>
      </w:r>
      <w:r>
        <w:rPr>
          <w:szCs w:val="24"/>
        </w:rPr>
        <w:t>viešąją įstaigą</w:t>
      </w:r>
      <w:r>
        <w:rPr>
          <w:szCs w:val="24"/>
          <w:lang w:val="x-none"/>
        </w:rPr>
        <w:t>, turi būti</w:t>
      </w:r>
      <w:r>
        <w:rPr>
          <w:szCs w:val="24"/>
        </w:rPr>
        <w:t xml:space="preserve">: </w:t>
      </w:r>
    </w:p>
    <w:p>
      <w:pPr>
        <w:spacing w:line="276" w:lineRule="auto"/>
        <w:ind w:firstLine="709"/>
        <w:jc w:val="both"/>
        <w:rPr>
          <w:szCs w:val="24"/>
        </w:rPr>
      </w:pPr>
      <w:r>
        <w:rPr>
          <w:szCs w:val="24"/>
        </w:rPr>
        <w:t>1</w:t>
      </w:r>
      <w:r>
        <w:rPr>
          <w:szCs w:val="24"/>
        </w:rPr>
        <w:t xml:space="preserve">) patikslinamas Vyriausybės nutarimas arba savivaldybės tarybos sprendimas dėl įmonei patikėjimo teise priklausančio turto perdavimo viešosios įstaigos nuosavybėn Valstybės ir savivaldybių turto valdymo, naudojimo ir disponavimo juo įstatymo nustatytais pagrindais ir tvarka; </w:t>
      </w:r>
    </w:p>
    <w:p>
      <w:pPr>
        <w:spacing w:line="276" w:lineRule="auto"/>
        <w:ind w:firstLine="709"/>
        <w:jc w:val="both"/>
        <w:rPr>
          <w:szCs w:val="24"/>
        </w:rPr>
      </w:pPr>
      <w:r>
        <w:rPr>
          <w:szCs w:val="24"/>
        </w:rPr>
        <w:t>2</w:t>
      </w:r>
      <w:r>
        <w:rPr>
          <w:szCs w:val="24"/>
        </w:rPr>
        <w:t>) patikslinamas sprendimas pertvarkyti įmonę į viešąją įstaigą.</w:t>
      </w:r>
    </w:p>
    <w:p>
      <w:pPr>
        <w:spacing w:line="276" w:lineRule="auto"/>
        <w:ind w:firstLine="709"/>
        <w:jc w:val="both"/>
        <w:rPr>
          <w:szCs w:val="24"/>
        </w:rPr>
      </w:pPr>
      <w:r>
        <w:rPr>
          <w:szCs w:val="24"/>
        </w:rPr>
        <w:t>7</w:t>
      </w:r>
      <w:r>
        <w:rPr>
          <w:szCs w:val="24"/>
        </w:rPr>
        <w:t xml:space="preserve">. Šio straipsnio 6 dalyje nurodytas turtas, kuris patikėjimo teise gautas po to, kai buvo priimtas sprendimas pertvarkyti įmonę į viešąją įstaigą, turi būti įvertintas nepriklausomo turto vertintojo </w:t>
      </w:r>
      <w:r>
        <w:rPr>
          <w:szCs w:val="24"/>
          <w:lang w:val="x-none"/>
        </w:rPr>
        <w:t xml:space="preserve">teisės aktų, </w:t>
      </w:r>
      <w:r>
        <w:rPr>
          <w:szCs w:val="24"/>
        </w:rPr>
        <w:t>reguliuojančių</w:t>
      </w:r>
      <w:r>
        <w:rPr>
          <w:szCs w:val="24"/>
          <w:lang w:val="x-none"/>
        </w:rPr>
        <w:t xml:space="preserve"> turto vertinimą, nustatyta tvarka</w:t>
      </w:r>
      <w:r>
        <w:rPr>
          <w:szCs w:val="24"/>
        </w:rPr>
        <w:t>.</w:t>
      </w:r>
      <w:r>
        <w:rPr>
          <w:szCs w:val="24"/>
          <w:lang w:val="x-none"/>
        </w:rPr>
        <w:t xml:space="preserve"> Turtas turi būti įvertintas iki </w:t>
      </w:r>
      <w:r>
        <w:rPr>
          <w:szCs w:val="24"/>
        </w:rPr>
        <w:t xml:space="preserve">patikslinto sprendimo pertvarkyti įmonę į viešąją įstaigą priėmimo. </w:t>
      </w:r>
      <w:r>
        <w:rPr>
          <w:szCs w:val="24"/>
          <w:lang w:val="x-none"/>
        </w:rPr>
        <w:t xml:space="preserve">Pertvarkant įmonę į </w:t>
      </w:r>
      <w:r>
        <w:rPr>
          <w:szCs w:val="24"/>
        </w:rPr>
        <w:t>viešąją įstaigą</w:t>
      </w:r>
      <w:r>
        <w:rPr>
          <w:szCs w:val="24"/>
          <w:lang w:val="x-none"/>
        </w:rPr>
        <w:t>, ši turto vertinimo ataskaita turi būti pateikta juridinių asmenų registrui</w:t>
      </w:r>
      <w:r>
        <w:rPr>
          <w:szCs w:val="24"/>
        </w:rPr>
        <w:t>.</w:t>
      </w:r>
      <w:r>
        <w:rPr>
          <w:szCs w:val="24"/>
          <w:lang w:val="x-none"/>
        </w:rPr>
        <w:t xml:space="preserve"> </w:t>
      </w:r>
    </w:p>
    <w:p>
      <w:pPr>
        <w:shd w:val="clear" w:color="auto" w:fill="FFFFFF"/>
        <w:spacing w:line="276" w:lineRule="auto"/>
        <w:ind w:firstLine="720"/>
        <w:jc w:val="both"/>
        <w:rPr>
          <w:szCs w:val="24"/>
        </w:rPr>
      </w:pPr>
      <w:r>
        <w:rPr>
          <w:szCs w:val="24"/>
        </w:rPr>
        <w:t>8</w:t>
      </w:r>
      <w:r>
        <w:rPr>
          <w:szCs w:val="24"/>
        </w:rPr>
        <w:t xml:space="preserve">. </w:t>
      </w:r>
      <w:r>
        <w:rPr>
          <w:color w:val="000000"/>
          <w:szCs w:val="24"/>
        </w:rPr>
        <w:t xml:space="preserve">Iki įmonės pertvarkymo pabaigos Valstybės ir savivaldybių turto valdymo, naudojimo ir disponavimo juo įstatymo nustatytais pagrindais ir tvarka turi būti priimtas sprendimas dėl </w:t>
      </w:r>
      <w:r>
        <w:rPr>
          <w:szCs w:val="24"/>
        </w:rPr>
        <w:t>turto, kuris pagal įstatymus gali būti tik valstybės nuosavybė, perdavimo atitinkamam subjektui, turinčiam teisę tokį turtą valdyti ir (arba) naudoti, ir (arba) juo disponuoti.</w:t>
      </w:r>
    </w:p>
    <w:p>
      <w:pPr>
        <w:shd w:val="clear" w:color="auto" w:fill="FFFFFF"/>
        <w:spacing w:line="276" w:lineRule="auto"/>
        <w:ind w:firstLine="720"/>
        <w:jc w:val="both"/>
        <w:rPr>
          <w:szCs w:val="24"/>
        </w:rPr>
      </w:pPr>
      <w:r>
        <w:rPr>
          <w:szCs w:val="24"/>
        </w:rPr>
        <w:t>9</w:t>
      </w:r>
      <w:r>
        <w:rPr>
          <w:szCs w:val="24"/>
        </w:rPr>
        <w:t xml:space="preserve">. Sprendimas pertvarkyti įmonę turi būti patikslintas, jeigu iki viešosios įstaigos, veiksiančios po pertvarkymo, įstatų įregistravimo juridinių asmenų registre pasikeitė įmonės savininko kapitalas, nepaskirstytasis pelnas (nuostoliai), privalomasis rezervas, perkainojimo rezervas (rezultatai) ir kiti rezervai, išskyrus rezervus, nurodytus šio Įstatymo 15 straipsnio 2 dalies 8 punkte. </w:t>
      </w:r>
    </w:p>
    <w:p>
      <w:pPr>
        <w:shd w:val="clear" w:color="auto" w:fill="FFFFFF"/>
        <w:spacing w:line="276" w:lineRule="auto"/>
        <w:ind w:firstLine="720"/>
        <w:jc w:val="both"/>
        <w:rPr>
          <w:szCs w:val="24"/>
          <w:shd w:val="clear" w:color="auto" w:fill="FFFFFF"/>
        </w:rPr>
      </w:pPr>
      <w:r>
        <w:rPr>
          <w:szCs w:val="24"/>
        </w:rPr>
        <w:t>10</w:t>
      </w:r>
      <w:r>
        <w:rPr>
          <w:szCs w:val="24"/>
        </w:rPr>
        <w:t xml:space="preserve">. Šio straipsnio 6 dalies 2 punkte ir 9 dalyje nurodytais atvejais sprendimą dėl sprendimo pertvarkyti įmonę į viešąją įstaigą patikslinimo priima įmonės savininko teises ir pareigas įgyvendinanti institucija, išskyrus atvejus, kai kitokią valstybės įmonės pertvarkymo į viešąją įstaigą tvarką nustato priimtas atskiras įstatymas. </w:t>
      </w:r>
      <w:r>
        <w:rPr>
          <w:szCs w:val="24"/>
          <w:shd w:val="clear" w:color="auto" w:fill="FFFFFF"/>
        </w:rPr>
        <w:t xml:space="preserve">Patikslinus sprendimą, taip pat turi būti patikslinti po pertvarkymo veiksiančios viešosios įstaigos įstatai ir </w:t>
      </w:r>
      <w:r>
        <w:rPr>
          <w:szCs w:val="24"/>
        </w:rPr>
        <w:t>dalininko kapitalo dydis.</w:t>
      </w:r>
    </w:p>
    <w:p>
      <w:pPr>
        <w:spacing w:line="276" w:lineRule="auto"/>
        <w:ind w:firstLine="720"/>
        <w:jc w:val="both"/>
        <w:rPr>
          <w:szCs w:val="24"/>
        </w:rPr>
      </w:pPr>
      <w:r>
        <w:rPr>
          <w:szCs w:val="24"/>
        </w:rPr>
        <w:t>11</w:t>
      </w:r>
      <w:r>
        <w:rPr>
          <w:szCs w:val="24"/>
        </w:rPr>
        <w:t xml:space="preserve">. Įmonės vadovas apie patikslintą sprendimą pertvarkyti įmonę turi pranešti juridinių asmenų registrui, vieną kartą viešai paskelbti šio Įstatymo 3 straipsnio 9 dalyje </w:t>
      </w:r>
      <w:r>
        <w:rPr>
          <w:color w:val="000000"/>
          <w:szCs w:val="24"/>
        </w:rPr>
        <w:t>nurodytame leidinyje ir visiems įmonės kreditoriams pranešti raštu. Patikslinus sprendimą, kartu su pranešimu juridinių asmenų registrui pateikiamas visas patikslinto sprendimo pertvarkyti įmonę tekstas. Skelbime arba pranešime, be šio Įstatymo 19 straipsnio 4 dalyje nustatytų reikalavimų, taip pat turi būti nurodyta priežastis, dėl kurios sprendimas pertvarkyti įmonę patikslintas.</w:t>
      </w:r>
      <w:r>
        <w:rPr>
          <w:szCs w:val="24"/>
        </w:rPr>
        <w:t xml:space="preserve"> </w:t>
      </w:r>
    </w:p>
    <w:p>
      <w:pPr>
        <w:spacing w:line="276" w:lineRule="auto"/>
        <w:ind w:firstLine="720"/>
        <w:jc w:val="both"/>
        <w:rPr>
          <w:szCs w:val="24"/>
        </w:rPr>
      </w:pPr>
      <w:r>
        <w:rPr>
          <w:szCs w:val="24"/>
        </w:rPr>
        <w:t>12</w:t>
      </w:r>
      <w:r>
        <w:rPr>
          <w:szCs w:val="24"/>
        </w:rPr>
        <w:t>.</w:t>
      </w:r>
      <w:r>
        <w:rPr>
          <w:sz w:val="22"/>
          <w:szCs w:val="22"/>
        </w:rPr>
        <w:t xml:space="preserve"> </w:t>
      </w:r>
      <w:r>
        <w:rPr>
          <w:szCs w:val="24"/>
        </w:rPr>
        <w:t>Viešosioms įstaigoms, kurių dalininkė (savininkė) yra valstybė ar savivaldybė, viešojo administravimo įgaliojimai gali būti suteikiami Viešojo administravimo įstatymo nustatytais pagrindais ir tvarka.</w:t>
      </w:r>
    </w:p>
    <w:p>
      <w:pPr>
        <w:spacing w:line="276" w:lineRule="auto"/>
        <w:ind w:firstLine="720"/>
        <w:jc w:val="both"/>
        <w:rPr>
          <w:szCs w:val="24"/>
        </w:rPr>
      </w:pPr>
      <w:r>
        <w:rPr>
          <w:color w:val="000000"/>
          <w:szCs w:val="24"/>
        </w:rPr>
        <w:t>13</w:t>
      </w:r>
      <w:r>
        <w:rPr>
          <w:color w:val="000000"/>
          <w:szCs w:val="24"/>
        </w:rPr>
        <w:t xml:space="preserve">. Įmonės savininko teises ir pareigas įgyvendinanti institucija, priėmusi sprendimą pertvarkyti įmonę į viešąją įstaigą, kartu tvirtina po pertvarkymo veiksiančios viešosios įstaigos įstatus. Juos įregistravus juridinių asmenų registre, įmonės savininko teises ir pareigas įgyvendinanti institucija tampa valstybės ar savivaldybės institucija, kuriai pavedama įgyvendinti valstybės ar savivaldybės, kaip viešosios įstaigos dalininkės (savininkės), teises ir pareigas.“  </w:t>
      </w:r>
    </w:p>
    <w:p>
      <w:pPr>
        <w:spacing w:line="276" w:lineRule="auto"/>
        <w:jc w:val="both"/>
        <w:rPr>
          <w:b/>
          <w:szCs w:val="24"/>
        </w:rPr>
      </w:pPr>
    </w:p>
    <w:p>
      <w:pPr>
        <w:ind w:firstLine="720"/>
        <w:jc w:val="both"/>
        <w:rPr>
          <w:b/>
          <w:szCs w:val="24"/>
        </w:rPr>
      </w:pPr>
      <w:r>
        <w:rPr>
          <w:b/>
          <w:szCs w:val="24"/>
        </w:rPr>
        <w:t>3</w:t>
      </w:r>
      <w:r>
        <w:rPr>
          <w:b/>
          <w:szCs w:val="24"/>
        </w:rPr>
        <w:t xml:space="preserve"> straipsnis. </w:t>
      </w:r>
      <w:r>
        <w:rPr>
          <w:b/>
          <w:szCs w:val="24"/>
        </w:rPr>
        <w:t>Įstatymo įsigaliojimas ir įgyvendinimas</w:t>
      </w:r>
    </w:p>
    <w:p>
      <w:pPr>
        <w:ind w:firstLine="720"/>
        <w:jc w:val="both"/>
        <w:rPr>
          <w:szCs w:val="24"/>
        </w:rPr>
      </w:pPr>
      <w:r>
        <w:rPr>
          <w:szCs w:val="24"/>
        </w:rPr>
        <w:t>1</w:t>
      </w:r>
      <w:r>
        <w:rPr>
          <w:szCs w:val="24"/>
        </w:rPr>
        <w:t>. Šis įstatymas, išskyrus šio straipsnio 2 dalį, įsigalioja 2018 m. gegužės 1 d.</w:t>
      </w:r>
    </w:p>
    <w:p>
      <w:pPr>
        <w:spacing w:line="276" w:lineRule="auto"/>
        <w:ind w:firstLine="720"/>
        <w:jc w:val="both"/>
        <w:rPr>
          <w:szCs w:val="24"/>
        </w:rPr>
      </w:pPr>
      <w:r>
        <w:rPr>
          <w:szCs w:val="24"/>
        </w:rPr>
        <w:t>2</w:t>
      </w:r>
      <w:r>
        <w:rPr>
          <w:szCs w:val="24"/>
        </w:rPr>
        <w:t>. Lietuvos Respublikos Vyriausybė ir (ar) jos įgaliotos institucijos iki šio įstatymo įsigaliojimo priima šio įstatymo įgyvendinamuosius teisės aktus.</w:t>
      </w:r>
    </w:p>
    <w:p>
      <w:pPr>
        <w:spacing w:line="276" w:lineRule="auto"/>
        <w:ind w:firstLine="720"/>
        <w:jc w:val="both"/>
        <w:rPr>
          <w:szCs w:val="24"/>
        </w:rPr>
      </w:pPr>
    </w:p>
    <w:p>
      <w:pPr>
        <w:spacing w:line="276" w:lineRule="auto"/>
        <w:ind w:firstLine="720"/>
        <w:jc w:val="both"/>
        <w:rPr>
          <w:i/>
          <w:color w:val="000000"/>
          <w:szCs w:val="24"/>
        </w:rPr>
      </w:pPr>
      <w:r>
        <w:rPr>
          <w:i/>
          <w:color w:val="000000"/>
          <w:szCs w:val="24"/>
        </w:rPr>
        <w:t>Skelbiu šį Lietuvos Respublikos Seimo priimtą įstatymą.</w:t>
      </w:r>
    </w:p>
    <w:p>
      <w:pPr>
        <w:spacing w:line="276" w:lineRule="auto"/>
        <w:jc w:val="both"/>
        <w:rPr>
          <w:color w:val="000000"/>
          <w:szCs w:val="24"/>
        </w:rPr>
      </w:pPr>
      <w:r>
        <w:rPr>
          <w:color w:val="000000"/>
          <w:szCs w:val="24"/>
        </w:rPr>
        <w:t>Respublikos Prezidentas</w:t>
      </w:r>
    </w:p>
    <w:sectPr>
      <w:headerReference w:type="even" r:id="rId8"/>
      <w:headerReference w:type="default" r:id="rId9"/>
      <w:footerReference w:type="even" r:id="rId10"/>
      <w:footerReference w:type="default" r:id="rId11"/>
      <w:headerReference w:type="first" r:id="rId12"/>
      <w:footerReference w:type="first" r:id="rId13"/>
      <w:pgSz w:w="11906" w:h="16838"/>
      <w:pgMar w:top="1701" w:right="567" w:bottom="1134" w:left="1701" w:header="567" w:footer="567" w:gutter="0"/>
      <w:cols w:space="1296"/>
      <w:titlePg/>
      <w:docGrid w:linePitch="360"/>
    </w:sectPr>
  </w:body>
</w:document>
</file>

<file path=word/endnotes.xml><?xml version="1.0" encoding="utf-8"?>
<w:endnotes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rPr>
          <w:sz w:val="22"/>
          <w:szCs w:val="22"/>
        </w:rPr>
      </w:pPr>
      <w:r>
        <w:rPr>
          <w:sz w:val="22"/>
          <w:szCs w:val="22"/>
        </w:rPr>
        <w:separator/>
      </w:r>
    </w:p>
  </w:endnote>
  <w:endnote w:type="continuationSeparator" w:id="0">
    <w:p>
      <w:pPr>
        <w:rPr>
          <w:sz w:val="22"/>
          <w:szCs w:val="22"/>
        </w:rPr>
      </w:pPr>
      <w:r>
        <w:rPr>
          <w:sz w:val="22"/>
          <w:szCs w:val="22"/>
        </w:rPr>
        <w:continuationSeparator/>
      </w:r>
    </w:p>
  </w:endnote>
</w:endnotes>
</file>

<file path=word/fontTable.xml><?xml version="1.0" encoding="utf-8"?>
<w:fonts xmlns:w="http://schemas.openxmlformats.org/wordprocessingml/2006/main" xmlns:mc="http://schemas.openxmlformats.org/markup-compatibility/2006" xmlns:r="http://schemas.openxmlformats.org/officeDocument/2006/relationships"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Calibri Light">
    <w:panose1 w:val="020F0302020204030204"/>
    <w:charset w:val="BA"/>
    <w:family w:val="swiss"/>
    <w:pitch w:val="variable"/>
    <w:sig w:usb0="A00002EF" w:usb1="4000207B" w:usb2="00000000" w:usb3="00000000" w:csb0="0000019F" w:csb1="00000000"/>
  </w:font>
  <w:font w:name="Calibri">
    <w:panose1 w:val="020F0502020204030204"/>
    <w:charset w:val="BA"/>
    <w:family w:val="swiss"/>
    <w:pitch w:val="variable"/>
    <w:sig w:usb0="E00002FF" w:usb1="4000ACFF" w:usb2="00000001" w:usb3="00000000" w:csb0="0000019F" w:csb1="00000000"/>
  </w:font>
</w:fonts>
</file>

<file path=word/footer1.xml><?xml version="1.0" encoding="utf-8"?>
<w:ftr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tabs>
        <w:tab w:val="center" w:pos="4819"/>
        <w:tab w:val="right" w:pos="9638"/>
      </w:tabs>
      <w:spacing w:after="160" w:line="259" w:lineRule="auto"/>
      <w:rPr>
        <w:sz w:val="22"/>
        <w:szCs w:val="22"/>
      </w:rPr>
    </w:pPr>
  </w:p>
</w:ftr>
</file>

<file path=word/footer2.xml><?xml version="1.0" encoding="utf-8"?>
<w:ftr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tabs>
        <w:tab w:val="center" w:pos="4819"/>
        <w:tab w:val="right" w:pos="9638"/>
      </w:tabs>
      <w:spacing w:after="160" w:line="259" w:lineRule="auto"/>
      <w:rPr>
        <w:sz w:val="22"/>
        <w:szCs w:val="22"/>
      </w:rPr>
    </w:pPr>
  </w:p>
</w:ftr>
</file>

<file path=word/footer3.xml><?xml version="1.0" encoding="utf-8"?>
<w:ftr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tabs>
        <w:tab w:val="center" w:pos="4819"/>
        <w:tab w:val="right" w:pos="9638"/>
      </w:tabs>
      <w:spacing w:after="160" w:line="259" w:lineRule="auto"/>
      <w:rPr>
        <w:sz w:val="22"/>
        <w:szCs w:val="22"/>
      </w:rPr>
    </w:pPr>
  </w:p>
</w:ftr>
</file>

<file path=word/footnotes.xml><?xml version="1.0" encoding="utf-8"?>
<w:footnotes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rPr>
          <w:sz w:val="22"/>
          <w:szCs w:val="22"/>
        </w:rPr>
      </w:pPr>
      <w:r>
        <w:rPr>
          <w:sz w:val="22"/>
          <w:szCs w:val="22"/>
        </w:rPr>
        <w:separator/>
      </w:r>
    </w:p>
  </w:footnote>
  <w:footnote w:type="continuationSeparator" w:id="0">
    <w:p>
      <w:pPr>
        <w:rPr>
          <w:sz w:val="22"/>
          <w:szCs w:val="22"/>
        </w:rPr>
      </w:pPr>
      <w:r>
        <w:rPr>
          <w:sz w:val="22"/>
          <w:szCs w:val="22"/>
        </w:rPr>
        <w:continuationSeparator/>
      </w:r>
    </w:p>
  </w:footnote>
</w:footnotes>
</file>

<file path=word/header1.xml><?xml version="1.0" encoding="utf-8"?>
<w:hdr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tabs>
        <w:tab w:val="center" w:pos="4819"/>
        <w:tab w:val="right" w:pos="9638"/>
      </w:tabs>
      <w:spacing w:after="160" w:line="259" w:lineRule="auto"/>
      <w:rPr>
        <w:sz w:val="22"/>
        <w:szCs w:val="22"/>
      </w:rPr>
    </w:pPr>
  </w:p>
</w:hdr>
</file>

<file path=word/header2.xml><?xml version="1.0" encoding="utf-8"?>
<w:hdr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tabs>
        <w:tab w:val="center" w:pos="4819"/>
        <w:tab w:val="right" w:pos="9638"/>
      </w:tabs>
      <w:spacing w:after="160" w:line="259" w:lineRule="auto"/>
      <w:jc w:val="center"/>
      <w:rPr>
        <w:szCs w:val="24"/>
      </w:rPr>
    </w:pPr>
    <w:r>
      <w:rPr>
        <w:szCs w:val="24"/>
      </w:rPr>
      <w:fldChar w:fldCharType="begin"/>
    </w:r>
    <w:r>
      <w:rPr>
        <w:szCs w:val="24"/>
      </w:rPr>
      <w:instrText>PAGE   \* MERGEFORMAT</w:instrText>
    </w:r>
    <w:r>
      <w:rPr>
        <w:szCs w:val="24"/>
      </w:rPr>
      <w:fldChar w:fldCharType="separate"/>
    </w:r>
    <w:r>
      <w:rPr>
        <w:szCs w:val="24"/>
      </w:rPr>
      <w:t>3</w:t>
    </w:r>
    <w:r>
      <w:rPr>
        <w:szCs w:val="24"/>
      </w:rPr>
      <w:fldChar w:fldCharType="end"/>
    </w:r>
  </w:p>
  <w:p>
    <w:pPr>
      <w:tabs>
        <w:tab w:val="center" w:pos="4819"/>
        <w:tab w:val="right" w:pos="9638"/>
      </w:tabs>
      <w:spacing w:after="160" w:line="259" w:lineRule="auto"/>
      <w:rPr>
        <w:sz w:val="22"/>
        <w:szCs w:val="22"/>
      </w:rPr>
    </w:pPr>
  </w:p>
</w:hdr>
</file>

<file path=word/header3.xml><?xml version="1.0" encoding="utf-8"?>
<w:hdr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tabs>
        <w:tab w:val="center" w:pos="4986"/>
        <w:tab w:val="right" w:pos="9972"/>
      </w:tabs>
      <w:rPr>
        <w:sz w:val="22"/>
        <w:szCs w:val="22"/>
      </w:rPr>
    </w:pPr>
  </w:p>
</w:hdr>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mc:Ignorable="w14">
  <w:view w:val="normal"/>
  <w:zoom w:val="bestFit" w:percent="149"/>
  <w:defaultTabStop w:val="1296"/>
  <w:hyphenationZone w:val="396"/>
  <w:doNotHyphenateCaps/>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AD2"/>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mc:Ignorable="w14">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267"/>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267"/>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w="http://schemas.openxmlformats.org/wordprocessingml/2006/main" xmlns:mc="http://schemas.openxmlformats.org/markup-compatibility/2006" xmlns:r="http://schemas.openxmlformats.org/officeDocument/2006/relationships"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fontTable" Target="fontTable.xml"/>
  <Relationship Id="rId15" Type="http://schemas.openxmlformats.org/officeDocument/2006/relationships/theme" Target="theme/theme1.xml"/>
  <Relationship Id="rId2" Type="http://schemas.openxmlformats.org/officeDocument/2006/relationships/styles" Target="styles.xml"/>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076B9-DC00-4A65-8B57-49C6CA7DD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767</Words>
  <Characters>5203</Characters>
  <Application>Microsoft Office Word</Application>
  <DocSecurity>4</DocSecurity>
  <Lines>88</Lines>
  <Paragraphs>41</Paragraphs>
  <ScaleCrop>false</ScaleCrop>
  <HeadingPairs>
    <vt:vector size="2" baseType="variant">
      <vt:variant>
        <vt:lpstr>Title</vt:lpstr>
      </vt:variant>
      <vt:variant>
        <vt:i4>1</vt:i4>
      </vt:variant>
    </vt:vector>
  </HeadingPairs>
  <TitlesOfParts>
    <vt:vector size="1" baseType="lpstr">
      <vt:lpstr/>
    </vt:vector>
  </TitlesOfParts>
  <Company>u m</Company>
  <LinksUpToDate>false</LinksUpToDate>
  <CharactersWithSpaces>5929</CharactersWithSpaces>
  <SharedDoc>false</SharedDoc>
  <HyperlinkBase/>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2018-02-15T08:23:00Z</dcterms:created>
  <dc:creator>Kumstiene Vaida</dc:creator>
  <lastModifiedBy>adlibuser</lastModifiedBy>
  <lastPrinted>2018-02-05T12:26:00Z</lastPrinted>
  <dcterms:modified xsi:type="dcterms:W3CDTF">2018-02-15T08:23:00Z</dcterms:modified>
  <revision>2</revision>
</coreProperties>
</file>