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Segoe UI" w:hAnsi="Segoe UI"/>
          <w:b/>
          <w:color w:val="0F2B48"/>
          <w:sz w:val="48"/>
        </w:rPr>
        <w:t>System Architecture Specification</w:t>
      </w:r>
    </w:p>
    <w:p>
      <w:pPr>
        <w:spacing w:before="0" w:after="280"/>
      </w:pPr>
      <w:r>
        <w:rPr>
          <w:rFonts w:ascii="Segoe UI" w:hAnsi="Segoe UI"/>
          <w:color w:val="1A6FB0"/>
          <w:sz w:val="24"/>
        </w:rPr>
        <w:t>Football Match Prediction &amp; Tactical Analysis SaaS Platform</w:t>
        <w:br/>
        <w:t>Problem Statement, Quality Attributes (ATAM), C4 Architecture &amp; Pre-Implementation ADRs</w:t>
      </w:r>
    </w:p>
    <w:tbl>
      <w:tblPr>
        <w:tblW w:type="auto" w:w="0"/>
        <w:jc w:val="center"/>
        <w:tblLayout w:type="fixed"/>
        <w:tblLook w:firstColumn="1" w:firstRow="1" w:lastColumn="0" w:lastRow="0" w:noHBand="0" w:noVBand="1" w:val="04A0"/>
      </w:tblPr>
      <w:tblGrid>
        <w:gridCol w:w="3264"/>
        <w:gridCol w:w="3264"/>
        <w:gridCol w:w="3264"/>
      </w:tblGrid>
      <w:tr>
        <w:trPr>
          <w:tblHeader/>
          <w:cantSplit/>
        </w:trPr>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60" w:after="60"/>
            </w:pPr>
            <w:r>
              <w:rPr>
                <w:rFonts w:ascii="Segoe UI" w:hAnsi="Segoe UI"/>
                <w:b w:val="0"/>
                <w:color w:val="0F2B48"/>
                <w:sz w:val="19"/>
              </w:rPr>
              <w:t>System Version</w:t>
              <w:br/>
            </w:r>
            <w:r>
              <w:rPr>
                <w:rFonts w:ascii="Segoe UI" w:hAnsi="Segoe UI"/>
                <w:b w:val="0"/>
                <w:color w:val="0F2B48"/>
                <w:sz w:val="19"/>
              </w:rPr>
              <w:t>2.0 (Two-Expert Hybrid AI)</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60" w:after="60"/>
            </w:pPr>
            <w:r>
              <w:rPr>
                <w:rFonts w:ascii="Segoe UI" w:hAnsi="Segoe UI"/>
                <w:b w:val="0"/>
                <w:color w:val="0F2B48"/>
                <w:sz w:val="19"/>
              </w:rPr>
              <w:t>Target Domain</w:t>
              <w:br/>
            </w:r>
            <w:r>
              <w:rPr>
                <w:rFonts w:ascii="Segoe UI" w:hAnsi="Segoe UI"/>
                <w:b w:val="0"/>
                <w:color w:val="0F2B48"/>
                <w:sz w:val="19"/>
              </w:rPr>
              <w:t>Elite Club Tactical Analytics</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60" w:after="60"/>
            </w:pPr>
            <w:r>
              <w:rPr>
                <w:rFonts w:ascii="Segoe UI" w:hAnsi="Segoe UI"/>
                <w:b w:val="0"/>
                <w:color w:val="0F2B48"/>
                <w:sz w:val="19"/>
              </w:rPr>
              <w:t>Architecture Style</w:t>
              <w:br/>
            </w:r>
            <w:r>
              <w:rPr>
                <w:rFonts w:ascii="Segoe UI" w:hAnsi="Segoe UI"/>
                <w:b w:val="0"/>
                <w:color w:val="0F2B48"/>
                <w:sz w:val="19"/>
              </w:rPr>
              <w:t>Two-Expert / Decoupled Serving</w:t>
            </w:r>
          </w:p>
        </w:tc>
      </w:tr>
      <w:tr>
        <w:trPr>
          <w:cantSplit/>
        </w:trPr>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Ingress Gateway</w:t>
              <w:br/>
            </w:r>
            <w:r>
              <w:rPr>
                <w:rFonts w:ascii="Segoe UI" w:hAnsi="Segoe UI"/>
                <w:b/>
                <w:color w:val="222222"/>
                <w:sz w:val="18"/>
              </w:rPr>
              <w:t>BentoML 1.4+ (:8001)</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Model Runtimes</w:t>
              <w:br/>
            </w:r>
            <w:r>
              <w:rPr>
                <w:rFonts w:ascii="Segoe UI" w:hAnsi="Segoe UI"/>
                <w:b/>
                <w:color w:val="222222"/>
                <w:sz w:val="18"/>
              </w:rPr>
              <w:t>ONNX (GNN) + vLLM (:8000 SLM)</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Primary Data Stores</w:t>
              <w:br/>
            </w:r>
            <w:r>
              <w:rPr>
                <w:rFonts w:ascii="Segoe UI" w:hAnsi="Segoe UI"/>
                <w:b/>
                <w:color w:val="222222"/>
                <w:sz w:val="18"/>
              </w:rPr>
              <w:t>PostgreSQL + pgvector &amp; Neo4j</w:t>
            </w:r>
          </w:p>
        </w:tc>
      </w:tr>
    </w:tbl>
    <w:p>
      <w:pPr>
        <w:spacing w:after="200"/>
      </w:pPr>
    </w:p>
    <w:p>
      <w:pPr>
        <w:spacing w:before="280" w:after="80"/>
      </w:pPr>
      <w:r>
        <w:rPr>
          <w:rFonts w:ascii="Segoe UI" w:hAnsi="Segoe UI"/>
          <w:b/>
          <w:color w:val="0F2B48"/>
          <w:sz w:val="30"/>
        </w:rPr>
        <w:t>1. Problem Statement &amp; Operational Domain</w:t>
      </w:r>
    </w:p>
    <w:p>
      <w:pPr>
        <w:spacing w:line="276" w:lineRule="auto" w:after="120"/>
      </w:pPr>
      <w:r>
        <w:rPr>
          <w:rFonts w:ascii="Segoe UI" w:hAnsi="Segoe UI"/>
          <w:color w:val="222222"/>
          <w:sz w:val="20"/>
        </w:rPr>
        <w:t>Modern professional football analytics requires combining rigorous probabilistic match outcome modeling with deep contextual tactical reasoning. While statistical tracking data (xG, passing networks, defensive actions) and historical match data are abundant, club coaching staffs, match analysts, and sporting directors face four critical operational deficiencies in existing software solutions:</w:t>
      </w:r>
    </w:p>
    <w:p>
      <w:pPr>
        <w:pStyle w:val="ListBullet"/>
        <w:spacing w:before="20" w:after="40" w:line="276" w:lineRule="auto"/>
      </w:pPr>
      <w:r>
        <w:rPr>
          <w:rFonts w:ascii="Segoe UI" w:hAnsi="Segoe UI"/>
          <w:b/>
          <w:color w:val="0F2B48"/>
          <w:sz w:val="19"/>
        </w:rPr>
        <w:t xml:space="preserve">1. Black-Box Statistical Modeling Deficiency: </w:t>
      </w:r>
      <w:r>
        <w:rPr>
          <w:rFonts w:ascii="Segoe UI" w:hAnsi="Segoe UI"/>
          <w:color w:val="222222"/>
          <w:sz w:val="19"/>
        </w:rPr>
        <w:t>Traditional statistical match prediction methods (Poisson regressions, gradient-boosted decision trees, vanilla Elo ratings) yield opaque numerical probability percentages without tactical or contextual grounding. Match analysts cannot present raw numbers to coaching staff without tactical rationale (e.g., formation mismatches, pressing triggers, transitional vulnerabilities).</w:t>
      </w:r>
    </w:p>
    <w:p>
      <w:pPr>
        <w:pStyle w:val="ListBullet"/>
        <w:spacing w:before="20" w:after="40" w:line="276" w:lineRule="auto"/>
      </w:pPr>
      <w:r>
        <w:rPr>
          <w:rFonts w:ascii="Segoe UI" w:hAnsi="Segoe UI"/>
          <w:b/>
          <w:color w:val="0F2B48"/>
          <w:sz w:val="19"/>
        </w:rPr>
        <w:t xml:space="preserve">2. Hallucinations &amp; Temporal Disconnect in General LLMs: </w:t>
      </w:r>
      <w:r>
        <w:rPr>
          <w:rFonts w:ascii="Segoe UI" w:hAnsi="Segoe UI"/>
          <w:color w:val="222222"/>
          <w:sz w:val="19"/>
        </w:rPr>
        <w:t>General-purpose Large Language Models generate plausible yet fictitious football narratives, misattributing head-to-head records across seasons, fabricating manager tenures, or hallucinating player availability due to the absence of structured, multi-hop graph grounding.</w:t>
      </w:r>
    </w:p>
    <w:p>
      <w:pPr>
        <w:pStyle w:val="ListBullet"/>
        <w:spacing w:before="20" w:after="40" w:line="276" w:lineRule="auto"/>
      </w:pPr>
      <w:r>
        <w:rPr>
          <w:rFonts w:ascii="Segoe UI" w:hAnsi="Segoe UI"/>
          <w:b/>
          <w:color w:val="0F2B48"/>
          <w:sz w:val="19"/>
        </w:rPr>
        <w:t xml:space="preserve">3. The Pre-Match vs. In-Match Reality Gap: </w:t>
      </w:r>
      <w:r>
        <w:rPr>
          <w:rFonts w:ascii="Segoe UI" w:hAnsi="Segoe UI"/>
          <w:color w:val="222222"/>
          <w:sz w:val="19"/>
        </w:rPr>
        <w:t>Tactical preparations are static, but football matches are dynamic. An early red card, tactical substitution, or unexpected opening goal instantly invalidates pre-match probability predictions. Running heavy autoregressive LLMs live during a match takes 15 to 35 seconds, far too slow for real-time coaching decisions on the touchline.</w:t>
      </w:r>
    </w:p>
    <w:p>
      <w:pPr>
        <w:pStyle w:val="ListBullet"/>
        <w:spacing w:before="20" w:after="40" w:line="276" w:lineRule="auto"/>
      </w:pPr>
      <w:r>
        <w:rPr>
          <w:rFonts w:ascii="Segoe UI" w:hAnsi="Segoe UI"/>
          <w:b/>
          <w:color w:val="0F2B48"/>
          <w:sz w:val="19"/>
        </w:rPr>
        <w:t xml:space="preserve">4. Compute Resource Contention &amp; Serving Fragmentation: </w:t>
      </w:r>
      <w:r>
        <w:rPr>
          <w:rFonts w:ascii="Segoe UI" w:hAnsi="Segoe UI"/>
          <w:color w:val="222222"/>
          <w:sz w:val="19"/>
        </w:rPr>
        <w:t>Combining deep graph learning (GNNs), high-throughput vector similarity search, knowledge graph traversals, and local language models (SLMs) in a single platform frequently results in severe GPU memory thrashing, inter-service network friction, and unpredictable API latency spikes without unified gateway orchestration.</w:t>
      </w:r>
    </w:p>
    <w:tbl>
      <w:tblPr>
        <w:tblW w:type="auto" w:w="0"/>
        <w:jc w:val="center"/>
        <w:tblLayout w:type="fixed"/>
        <w:tblLook w:firstColumn="1" w:firstRow="1" w:lastColumn="0" w:lastRow="0" w:noHBand="0" w:noVBand="1" w:val="04A0"/>
      </w:tblPr>
      <w:tblGrid>
        <w:gridCol w:w="9360"/>
      </w:tblGrid>
      <w:tr>
        <w:tc>
          <w:tcPr>
            <w:tcW w:type="dxa" w:w="9792"/>
            <w:shd w:fill="F0F7FD"/>
            <w:tcMar>
              <w:top w:w="140" w:type="dxa"/>
              <w:bottom w:w="140" w:type="dxa"/>
              <w:left w:w="200" w:type="dxa"/>
              <w:right w:w="180" w:type="dxa"/>
            </w:tcMar>
            <w:tcBorders>
              <w:top w:val="none"/>
              <w:left w:val="single" w:sz="24" w:space="0" w:color="0F2B48"/>
              <w:bottom w:val="none"/>
              <w:right w:val="none"/>
            </w:tcBorders>
          </w:tcPr>
          <w:p>
            <w:pPr>
              <w:spacing w:before="0" w:after="0" w:line="276" w:lineRule="auto"/>
            </w:pPr>
            <w:r>
              <w:rPr>
                <w:rFonts w:ascii="Segoe UI" w:hAnsi="Segoe UI"/>
                <w:b/>
                <w:color w:val="0F2B48"/>
                <w:sz w:val="20"/>
              </w:rPr>
              <w:t xml:space="preserve">Platform Objective: </w:t>
            </w:r>
            <w:r>
              <w:rPr>
                <w:rFonts w:ascii="Segoe UI" w:hAnsi="Segoe UI"/>
                <w:color w:val="222222"/>
                <w:sz w:val="19"/>
              </w:rPr>
              <w:t>Core Mission Statement: To build an enterprise-grade, high-throughput Football Analysis SaaS Platform uniting a quantitative Temporal Edge-Attributed GNN (Expert 1) for calibrated match probabilities and sub-50ms live in-match Poisson simulation, with a qualitative, domain-fine-tuned Small Language Model (Expert 2) grounded by a dual Knowledge Graph (Neo4j) and Vector (FAISS/pgvector) architecture.</w:t>
            </w:r>
          </w:p>
        </w:tc>
      </w:tr>
    </w:tbl>
    <w:p>
      <w:pPr>
        <w:spacing w:before="0" w:after="80"/>
      </w:pPr>
    </w:p>
    <w:p>
      <w:pPr>
        <w:spacing w:before="320" w:after="80"/>
      </w:pPr>
      <w:r>
        <w:rPr>
          <w:rFonts w:ascii="Segoe UI" w:hAnsi="Segoe UI"/>
          <w:b/>
          <w:color w:val="0F2B48"/>
          <w:sz w:val="30"/>
        </w:rPr>
        <w:t>2. Ranked Quality Attributes (ATAM Analysis)</w:t>
      </w:r>
    </w:p>
    <w:p>
      <w:pPr>
        <w:spacing w:line="276" w:lineRule="auto" w:after="120"/>
      </w:pPr>
      <w:r>
        <w:rPr>
          <w:rFonts w:ascii="Segoe UI" w:hAnsi="Segoe UI"/>
          <w:color w:val="222222"/>
          <w:sz w:val="20"/>
        </w:rPr>
        <w:t>Following the Architecture Tradeoff Analysis Method (ATAM), the platform's non-functional requirements have been analyzed and prioritized from P0 (highest mission criticality) to P4. The architectural design explicitly balances these competing drivers through dedicated mechanisms and trade-off strategies.</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tblHeader/>
          <w:cantSplit/>
        </w:trPr>
        <w:tc>
          <w:tcPr>
            <w:tcW w:type="dxa" w:w="864"/>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Tier</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Quality Attribute</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Architectural Scenario</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Architectural Mechanism</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Trade-off / Sensitive Point</w:t>
            </w:r>
          </w:p>
        </w:tc>
      </w:tr>
      <w:tr>
        <w:trPr>
          <w:cantSplit/>
        </w:trPr>
        <w:tc>
          <w:tcPr>
            <w:tcW w:type="dxa" w:w="86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P0</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Correctness &amp; Grounding</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When an analyst queries a tactical matchup, all tactical assertions must be mathematically grounded in calibrated GNN probabilities and verified historical graph facts, with zero hallucinations.</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Two-Expert decoupled pattern; Dual Knowledge Graph (Neo4j) + Vector (FAISS/pgvector) RAG pipeline with strict prompt grounding schemas.</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Requires maintaining dual database synchronization (Neo4j &amp; Postgres) and strict schema validation pipelines.</w:t>
            </w:r>
          </w:p>
        </w:tc>
      </w:tr>
      <w:tr>
        <w:trPr>
          <w:cantSplit/>
        </w:trPr>
        <w:tc>
          <w:tcPr>
            <w:tcW w:type="dxa" w:w="86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P1</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Latency &amp; Performance</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During a live match, in-game match events (goals, red cards, minute changes) must recalculate outcome probabilities instantaneously (&lt;50ms SLA) for touchline coaching decisions.</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Analytical closed-form Poisson conditioning engine in live_match_engine.py, completely bypassing heavy LLM inference during live game ticks.</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Analytical Poisson conditioning relies on pre-match GNN base parameter inversion rather than generating continuous real-time language tokens.</w:t>
            </w:r>
          </w:p>
        </w:tc>
      </w:tr>
      <w:tr>
        <w:trPr>
          <w:cantSplit/>
        </w:trPr>
        <w:tc>
          <w:tcPr>
            <w:tcW w:type="dxa" w:w="86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P2</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Modularity &amp; Extensibility</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The platform must allow independent retraining, hot-swapping, and versioning of the quantitative GNN model and qualitative SLM without system downtime or code refactoring.</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Decoupled inference runtimes (ONNX Runtime for GNN; vLLM / ONNX GenAI HTTP sidecar for SLM); abstract Provider interface pattern.</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Inter-container HTTP/REST communication introduces a minor network serialization overhead compared to monolithic in-process calling.</w:t>
            </w:r>
          </w:p>
        </w:tc>
      </w:tr>
      <w:tr>
        <w:trPr>
          <w:cantSplit/>
        </w:trPr>
        <w:tc>
          <w:tcPr>
            <w:tcW w:type="dxa" w:w="86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P3</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Observability &amp; MLOps</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System operators must monitor real-time inference latency, 5-dimensional online drift metrics, and continuous RAGAS evaluation scores to detect model performance degradation.</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Native /metrics Prometheus exposition on BentoML gateway; automated Airflow RAGAS benchmark DAGs; Grafana telemetry dashboards.</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Metric scraping and telemetry collection consume minimal continuous CPU cycles and time-series storage overhead.</w:t>
            </w:r>
          </w:p>
        </w:tc>
      </w:tr>
      <w:tr>
        <w:trPr>
          <w:cantSplit/>
        </w:trPr>
        <w:tc>
          <w:tcPr>
            <w:tcW w:type="dxa" w:w="86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P4</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Security &amp; Multi-Tenancy</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Tactical analysts, club scouts, and domain supervisors must access segregated data with strict role-based access control (RBAC), tamper-evident audit logging, and local data sovereignty.</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FastAPI OAuth2/JWT middleware; database-level role isolation; full audit logging for supervised prediction overrides; on-premise SLM deployment.</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On-premise SLM deployment requires dedicated GPU hardware (8GB+ VRAM) rather than offloading to public commercial cloud APIs.</w:t>
            </w:r>
          </w:p>
        </w:tc>
      </w:tr>
    </w:tbl>
    <w:p>
      <w:pPr>
        <w:spacing w:after="160"/>
      </w:pPr>
    </w:p>
    <w:p>
      <w:pPr>
        <w:spacing w:before="320" w:after="80"/>
      </w:pPr>
      <w:r>
        <w:rPr>
          <w:rFonts w:ascii="Segoe UI" w:hAnsi="Segoe UI"/>
          <w:b/>
          <w:color w:val="0F2B48"/>
          <w:sz w:val="30"/>
        </w:rPr>
        <w:t>3. C4 Level 1: System Context Architecture</w:t>
      </w:r>
    </w:p>
    <w:p>
      <w:pPr>
        <w:spacing w:line="276" w:lineRule="auto" w:after="120"/>
      </w:pPr>
      <w:r>
        <w:rPr>
          <w:rFonts w:ascii="Segoe UI" w:hAnsi="Segoe UI"/>
          <w:color w:val="222222"/>
          <w:sz w:val="20"/>
        </w:rPr>
        <w:t>The System Context diagram establishes the boundary of the Football Analysis SaaS Platform. It defines the external stakeholders interacting with the platform and maps all external system integrations, including sports data feeds, remote model hubs, and experiment tracking registries.</w:t>
      </w:r>
    </w:p>
    <w:p>
      <w:pPr>
        <w:spacing w:before="160" w:after="80"/>
        <w:jc w:val="center"/>
      </w:pPr>
      <w:r>
        <w:drawing>
          <wp:inline xmlns:a="http://schemas.openxmlformats.org/drawingml/2006/main" xmlns:pic="http://schemas.openxmlformats.org/drawingml/2006/picture">
            <wp:extent cx="5852160" cy="3691967"/>
            <wp:docPr id="1" name="Picture 1"/>
            <wp:cNvGraphicFramePr>
              <a:graphicFrameLocks noChangeAspect="1"/>
            </wp:cNvGraphicFramePr>
            <a:graphic>
              <a:graphicData uri="http://schemas.openxmlformats.org/drawingml/2006/picture">
                <pic:pic>
                  <pic:nvPicPr>
                    <pic:cNvPr id="0" name="c4_level1_context.png"/>
                    <pic:cNvPicPr/>
                  </pic:nvPicPr>
                  <pic:blipFill>
                    <a:blip r:embed="rId11"/>
                    <a:stretch>
                      <a:fillRect/>
                    </a:stretch>
                  </pic:blipFill>
                  <pic:spPr>
                    <a:xfrm>
                      <a:off x="0" y="0"/>
                      <a:ext cx="5852160" cy="3691967"/>
                    </a:xfrm>
                    <a:prstGeom prst="rect"/>
                  </pic:spPr>
                </pic:pic>
              </a:graphicData>
            </a:graphic>
          </wp:inline>
        </w:drawing>
      </w:r>
    </w:p>
    <w:p>
      <w:pPr>
        <w:spacing w:before="0" w:after="200"/>
        <w:jc w:val="center"/>
      </w:pPr>
      <w:r>
        <w:rPr>
          <w:rFonts w:ascii="Segoe UI" w:hAnsi="Segoe UI"/>
          <w:i/>
          <w:color w:val="64748B"/>
          <w:sz w:val="17"/>
        </w:rPr>
        <w:t>Figure 1: C4 Level 1 — System Context Diagram for Football Analysis SaaS Platform</w:t>
      </w:r>
    </w:p>
    <w:p>
      <w:pPr>
        <w:pStyle w:val="Heading2"/>
      </w:pPr>
      <w:r>
        <w:t>3.1 Core Domain Stakeholders</w:t>
      </w:r>
    </w:p>
    <w:p>
      <w:pPr>
        <w:pStyle w:val="ListBullet"/>
        <w:spacing w:before="20" w:after="40" w:line="276" w:lineRule="auto"/>
      </w:pPr>
      <w:r>
        <w:rPr>
          <w:rFonts w:ascii="Segoe UI" w:hAnsi="Segoe UI"/>
          <w:b/>
          <w:color w:val="0F2B48"/>
          <w:sz w:val="19"/>
        </w:rPr>
        <w:t xml:space="preserve">Tactical Analysts &amp; Match Coaches: </w:t>
      </w:r>
      <w:r>
        <w:rPr>
          <w:rFonts w:ascii="Segoe UI" w:hAnsi="Segoe UI"/>
          <w:color w:val="222222"/>
          <w:sz w:val="19"/>
        </w:rPr>
        <w:t>Primary professional users who evaluate pre-match tactical matchups, compare squad profiles, review opponent transitional vulnerabilities, and simulate in-game scenarios using the live match engine.</w:t>
      </w:r>
    </w:p>
    <w:p>
      <w:pPr>
        <w:pStyle w:val="ListBullet"/>
        <w:spacing w:before="20" w:after="40" w:line="276" w:lineRule="auto"/>
      </w:pPr>
      <w:r>
        <w:rPr>
          <w:rFonts w:ascii="Segoe UI" w:hAnsi="Segoe UI"/>
          <w:b/>
          <w:color w:val="0F2B48"/>
          <w:sz w:val="19"/>
        </w:rPr>
        <w:t xml:space="preserve">Club Scouts &amp; Sporting Directors: </w:t>
      </w:r>
      <w:r>
        <w:rPr>
          <w:rFonts w:ascii="Segoe UI" w:hAnsi="Segoe UI"/>
          <w:color w:val="222222"/>
          <w:sz w:val="19"/>
        </w:rPr>
        <w:t>Club management users seeking objective, data-driven squad evaluations, player profile comparisons, recruitment fit analysis, and historical tactical performance streaks.</w:t>
      </w:r>
    </w:p>
    <w:p>
      <w:pPr>
        <w:pStyle w:val="ListBullet"/>
        <w:spacing w:before="20" w:after="40" w:line="276" w:lineRule="auto"/>
      </w:pPr>
      <w:r>
        <w:rPr>
          <w:rFonts w:ascii="Segoe UI" w:hAnsi="Segoe UI"/>
          <w:b/>
          <w:color w:val="0F2B48"/>
          <w:sz w:val="19"/>
        </w:rPr>
        <w:t xml:space="preserve">Tactical Reviewers &amp; Domain Supervisors: </w:t>
      </w:r>
      <w:r>
        <w:rPr>
          <w:rFonts w:ascii="Segoe UI" w:hAnsi="Segoe UI"/>
          <w:color w:val="222222"/>
          <w:sz w:val="19"/>
        </w:rPr>
        <w:t>Senior football experts authorized to inspect model predictions, approve crowd-sourced tactical edits, monitor live drift metrics, and submit manual overrides to correct edge-case anomalies.</w:t>
      </w:r>
    </w:p>
    <w:p>
      <w:pPr>
        <w:pStyle w:val="Heading2"/>
      </w:pPr>
      <w:r>
        <w:t>3.2 External System Integrations</w:t>
      </w:r>
    </w:p>
    <w:p>
      <w:pPr>
        <w:pStyle w:val="ListBullet"/>
        <w:spacing w:before="20" w:after="40" w:line="276" w:lineRule="auto"/>
      </w:pPr>
      <w:r>
        <w:rPr>
          <w:rFonts w:ascii="Segoe UI" w:hAnsi="Segoe UI"/>
          <w:b/>
          <w:color w:val="0F2B48"/>
          <w:sz w:val="19"/>
        </w:rPr>
        <w:t xml:space="preserve">External Football Feeds: </w:t>
      </w:r>
      <w:r>
        <w:rPr>
          <w:rFonts w:ascii="Segoe UI" w:hAnsi="Segoe UI"/>
          <w:color w:val="222222"/>
          <w:sz w:val="19"/>
        </w:rPr>
        <w:t>Automated ingest feeds scraping fixture histories, line-ups, and raw match statistics from football-data.co.uk; advanced metrics (xG, xGA, shot maps) from Understat; and localized weather conditions (temperature, humidity, precipitation) from Open-Meteo.</w:t>
      </w:r>
    </w:p>
    <w:p>
      <w:pPr>
        <w:pStyle w:val="ListBullet"/>
        <w:spacing w:before="20" w:after="40" w:line="276" w:lineRule="auto"/>
      </w:pPr>
      <w:r>
        <w:rPr>
          <w:rFonts w:ascii="Segoe UI" w:hAnsi="Segoe UI"/>
          <w:b/>
          <w:color w:val="0F2B48"/>
          <w:sz w:val="19"/>
        </w:rPr>
        <w:t xml:space="preserve">HuggingFace Model Hub: </w:t>
      </w:r>
      <w:r>
        <w:rPr>
          <w:rFonts w:ascii="Segoe UI" w:hAnsi="Segoe UI"/>
          <w:color w:val="222222"/>
          <w:sz w:val="19"/>
        </w:rPr>
        <w:t>Remote model registry hosting the domain-specialized, fine-tuned football SLM checkpoints (aliosama8399/football-analysisN) based on Qwen3 / SmolLM2 architectures.</w:t>
      </w:r>
    </w:p>
    <w:p>
      <w:pPr>
        <w:pStyle w:val="ListBullet"/>
        <w:spacing w:before="20" w:after="40" w:line="276" w:lineRule="auto"/>
      </w:pPr>
      <w:r>
        <w:rPr>
          <w:rFonts w:ascii="Segoe UI" w:hAnsi="Segoe UI"/>
          <w:b/>
          <w:color w:val="0F2B48"/>
          <w:sz w:val="19"/>
        </w:rPr>
        <w:t xml:space="preserve">MLflow Experiment Tracking: </w:t>
      </w:r>
      <w:r>
        <w:rPr>
          <w:rFonts w:ascii="Segoe UI" w:hAnsi="Segoe UI"/>
          <w:color w:val="222222"/>
          <w:sz w:val="19"/>
        </w:rPr>
        <w:t>Centralized ML experiment server logging hyperparameter tuning, model artifact registries, training validation runs, and GNN performance metrics.</w:t>
      </w:r>
    </w:p>
    <w:p>
      <w:pPr>
        <w:spacing w:before="320" w:after="80"/>
      </w:pPr>
      <w:r>
        <w:rPr>
          <w:rFonts w:ascii="Segoe UI" w:hAnsi="Segoe UI"/>
          <w:b/>
          <w:color w:val="0F2B48"/>
          <w:sz w:val="30"/>
        </w:rPr>
        <w:t>4. C4 Level 2: Container Architecture</w:t>
      </w:r>
    </w:p>
    <w:p>
      <w:pPr>
        <w:spacing w:line="276" w:lineRule="auto" w:after="120"/>
      </w:pPr>
      <w:r>
        <w:rPr>
          <w:rFonts w:ascii="Segoe UI" w:hAnsi="Segoe UI"/>
          <w:color w:val="222222"/>
          <w:sz w:val="20"/>
        </w:rPr>
        <w:t>The Container diagram decomposes the platform into its deployable software containers, execution runtimes, persistent storage nodes, and background orchestrators. Each container represents a distinctly deployable unit with defined communication protocols, host port bindings, and operational boundaries.</w:t>
      </w:r>
    </w:p>
    <w:p>
      <w:pPr>
        <w:spacing w:before="160" w:after="80"/>
        <w:jc w:val="center"/>
      </w:pPr>
      <w:r>
        <w:drawing>
          <wp:inline xmlns:a="http://schemas.openxmlformats.org/drawingml/2006/main" xmlns:pic="http://schemas.openxmlformats.org/drawingml/2006/picture">
            <wp:extent cx="5852160" cy="4544415"/>
            <wp:docPr id="2" name="Picture 2"/>
            <wp:cNvGraphicFramePr>
              <a:graphicFrameLocks noChangeAspect="1"/>
            </wp:cNvGraphicFramePr>
            <a:graphic>
              <a:graphicData uri="http://schemas.openxmlformats.org/drawingml/2006/picture">
                <pic:pic>
                  <pic:nvPicPr>
                    <pic:cNvPr id="0" name="c4_level2_container.png"/>
                    <pic:cNvPicPr/>
                  </pic:nvPicPr>
                  <pic:blipFill>
                    <a:blip r:embed="rId12"/>
                    <a:stretch>
                      <a:fillRect/>
                    </a:stretch>
                  </pic:blipFill>
                  <pic:spPr>
                    <a:xfrm>
                      <a:off x="0" y="0"/>
                      <a:ext cx="5852160" cy="4544415"/>
                    </a:xfrm>
                    <a:prstGeom prst="rect"/>
                  </pic:spPr>
                </pic:pic>
              </a:graphicData>
            </a:graphic>
          </wp:inline>
        </w:drawing>
      </w:r>
    </w:p>
    <w:p>
      <w:pPr>
        <w:spacing w:before="0" w:after="200"/>
        <w:jc w:val="center"/>
      </w:pPr>
      <w:r>
        <w:rPr>
          <w:rFonts w:ascii="Segoe UI" w:hAnsi="Segoe UI"/>
          <w:i/>
          <w:color w:val="64748B"/>
          <w:sz w:val="17"/>
        </w:rPr>
        <w:t>Figure 2: C4 Level 2 — Container Architecture Diagram for Football Analysis SaaS Platform</w:t>
      </w:r>
    </w:p>
    <w:p>
      <w:pPr>
        <w:pStyle w:val="Heading2"/>
      </w:pPr>
      <w:r>
        <w:t>4.1 Container Matrix &amp; Technology Stack</w:t>
      </w:r>
    </w:p>
    <w:tbl>
      <w:tblPr>
        <w:tblW w:type="auto" w:w="0"/>
        <w:jc w:val="center"/>
        <w:tblLayout w:type="fixed"/>
        <w:tblLook w:firstColumn="1" w:firstRow="1" w:lastColumn="0" w:lastRow="0" w:noHBand="0" w:noVBand="1" w:val="04A0"/>
      </w:tblPr>
      <w:tblGrid>
        <w:gridCol w:w="2448"/>
        <w:gridCol w:w="2448"/>
        <w:gridCol w:w="2448"/>
        <w:gridCol w:w="2448"/>
      </w:tblGrid>
      <w:tr>
        <w:trPr>
          <w:tblHeade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Container Name</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Technology Stack</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Port &amp; Protocol</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Responsibilities &amp; Boundaries</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Tactical Dashboard</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HTML5, Vanilla CSS3, Modern JS</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Browser Client (HTTPS)</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Cyberpunk HUD tactical interface for match predictions, live simulation, formation pitch visualizers, and supervisor review queue.</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BentoML Serving Gateway</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BentoML 1.4+, FastAPI, Uvicorn</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Host Port :8001 (HTTP, WS)</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Unified ingress gateway mounting FastAPI at root ('/') via @bentoml.asgi_app. Exposes REST, GraphQL, /metrics, and handles adaptive dynamic request batching.</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In-Process ML &amp; RAG Engine</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Python 3.12, PyG, ONNX Runtime, SciPy</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In-Process Async Python</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Core domain engine: TEA-GNN ONNX inference provider, closed-form Poisson live in-match engine (&lt;50ms), FAISS C++ index, and AsyncRAGWrapper thread pool offload.</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LLM Inference Sidecar</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vLLM / ONNX Runtime GenAI</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Host Port :8000 (HTTP /v1)</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Dedicated GPU/CPU inference service running domain-fine-tuned SLM (football-analysisN) with bounded VRAM (0.60 fraction) coexisting safely with GNN.</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PostgreSQL + pgvector</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PostgreSQL 16 + pgvector Extension</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Host Port :5432 (TCP)</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Primary relational store for user identities, RBAC, supervised match overrides, chat history, and kb_vectors table for dense semantic embeddings.</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Neo4j Knowledge Graph</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Neo4j 5 Community Edition</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Port :7687 (Bolt), :7474 (HTTP)</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Property graph database storing Teams, Matches, Leagues, Managers, and PLAYED_AGAINST structural edges. Traversed via Cypher queries for multi-hop head-to-head records.</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Airflow Orchestrator</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Apache Airflow 2.10.2</w:t>
            </w:r>
          </w:p>
        </w:tc>
        <w:tc>
          <w:tcPr>
            <w:tcW w:type="dxa" w:w="172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Host Port :8080 (HTTP)</w:t>
            </w:r>
          </w:p>
        </w:tc>
        <w:tc>
          <w:tcPr>
            <w:tcW w:type="dxa" w:w="3168"/>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Automated workflow engine running daily scrapers (football-data.co.uk, Understat), feature calculation pipelines, and continuous RAGAS evaluation DAGs.</w:t>
            </w:r>
          </w:p>
        </w:tc>
      </w:tr>
    </w:tbl>
    <w:p>
      <w:pPr>
        <w:spacing w:after="160"/>
      </w:pPr>
    </w:p>
    <w:p>
      <w:pPr>
        <w:pStyle w:val="Heading2"/>
      </w:pPr>
      <w:r>
        <w:t>4.2 Inter-Container Communication &amp; Interface Specification</w:t>
      </w:r>
    </w:p>
    <w:tbl>
      <w:tblPr>
        <w:tblW w:type="auto" w:w="0"/>
        <w:jc w:val="center"/>
        <w:tblLayout w:type="fixed"/>
        <w:tblLook w:firstColumn="1" w:firstRow="1" w:lastColumn="0" w:lastRow="0" w:noHBand="0" w:noVBand="1" w:val="04A0"/>
      </w:tblPr>
      <w:tblGrid>
        <w:gridCol w:w="2448"/>
        <w:gridCol w:w="2448"/>
        <w:gridCol w:w="2448"/>
        <w:gridCol w:w="2448"/>
      </w:tblGrid>
      <w:tr>
        <w:trPr>
          <w:tblHeade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Source Container</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Target Container</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Protocol / Port</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Interaction Description</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Tactical Dashboard (SPA)</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BentoML Serving Gateway</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HTTPS / JSON, WS (:8001)</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Sends user queries, fetches predictions, submits live simulation updates, authenticates JWT.</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BentoML Gateway</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In-Process Core Engine</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Internal Async Bridge</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Offloads CPU-heavy GNN scoring, FAISS lookups, and graph context assembly to ThreadPoolExecutor.</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In-Process Core Engine</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LLM Inference Sidecar</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HTTP / REST (:8000 /v1)</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Submits assembled KG + vector context to vLLM; receives structured tactical explanation.</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BentoML Gateway</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PostgreSQL / pgvector</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asyncpg / SQLAlchemy (:5432)</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Manages user credentials, RBAC tokens, chat sessions, and supervised prediction overrides.</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In-Process Core Engine</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Neo4j Graph DB</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Bolt / Cypher (:7687)</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Traverses structural team subgraphs, recent head-to-head sequences, and form streaks.</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Airflow Orchestrator</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PostgreSQL / Neo4j</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psycopg2 / Bolt</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Updates match results, recalculates rolling form features, and synchronizes graph relationships.</w:t>
            </w:r>
          </w:p>
        </w:tc>
      </w:tr>
      <w:tr>
        <w:trPr>
          <w:cantSplit/>
        </w:trPr>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MLOps Telemetry (Prometheus)</w:t>
            </w:r>
          </w:p>
        </w:tc>
        <w:tc>
          <w:tcPr>
            <w:tcW w:type="dxa" w:w="2160"/>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BentoML Gateway</w:t>
            </w:r>
          </w:p>
        </w:tc>
        <w:tc>
          <w:tcPr>
            <w:tcW w:type="dxa" w:w="2016"/>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HTTP / GET (:8001/metrics)</w:t>
            </w:r>
          </w:p>
        </w:tc>
        <w:tc>
          <w:tcPr>
            <w:tcW w:type="dxa" w:w="302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Scrapes system metrics, API latency histograms, and online drift telemetry gauges every 5s.</w:t>
            </w:r>
          </w:p>
        </w:tc>
      </w:tr>
    </w:tbl>
    <w:p>
      <w:pPr>
        <w:spacing w:after="160"/>
      </w:pPr>
    </w:p>
    <w:p>
      <w:pPr>
        <w:spacing w:before="320" w:after="80"/>
      </w:pPr>
      <w:r>
        <w:rPr>
          <w:rFonts w:ascii="Segoe UI" w:hAnsi="Segoe UI"/>
          <w:b/>
          <w:color w:val="0F2B48"/>
          <w:sz w:val="30"/>
        </w:rPr>
        <w:t>5. Key Architectural Decision Records (ADRs)</w:t>
      </w:r>
    </w:p>
    <w:p>
      <w:pPr>
        <w:spacing w:line="276" w:lineRule="auto" w:after="160"/>
      </w:pPr>
      <w:r>
        <w:rPr>
          <w:rFonts w:ascii="Segoe UI" w:hAnsi="Segoe UI"/>
          <w:color w:val="222222"/>
          <w:sz w:val="20"/>
        </w:rPr>
        <w:t>Architectural Decision Records (ADRs) capture foundational technical design choices formulated during system architecture and pre-implementation design. These records document the architectural context, design-time problem constraints, selected patterns, and explicit trade-offs established before writing production code.</w:t>
      </w:r>
    </w:p>
    <w:tbl>
      <w:tblPr>
        <w:tblW w:type="auto" w:w="0"/>
        <w:jc w:val="center"/>
        <w:tblLayout w:type="fixed"/>
        <w:tblLook w:firstColumn="1" w:firstRow="1" w:lastColumn="0" w:lastRow="0" w:noHBand="0" w:noVBand="1" w:val="04A0"/>
      </w:tblPr>
      <w:tblGrid>
        <w:gridCol w:w="9360"/>
      </w:tblGrid>
      <w:tr>
        <w:tc>
          <w:tcPr>
            <w:tcW w:type="dxa" w:w="9792"/>
            <w:shd w:fill="F0F7FD"/>
            <w:tcMar>
              <w:top w:w="140" w:type="dxa"/>
              <w:bottom w:w="140" w:type="dxa"/>
              <w:left w:w="200" w:type="dxa"/>
              <w:right w:w="180" w:type="dxa"/>
            </w:tcMar>
            <w:tcBorders>
              <w:top w:val="single" w:sz="6" w:space="0" w:color="1A6FB0"/>
              <w:left w:val="single" w:sz="24" w:space="0" w:color="0F2B48"/>
              <w:bottom w:val="single" w:sz="6" w:space="0" w:color="1A6FB0"/>
              <w:right w:val="single" w:sz="6" w:space="0" w:color="1A6FB0"/>
            </w:tcBorders>
          </w:tcPr>
          <w:p>
            <w:pPr>
              <w:spacing w:before="0" w:after="40"/>
            </w:pPr>
            <w:r>
              <w:rPr>
                <w:rFonts w:ascii="Segoe UI" w:hAnsi="Segoe UI"/>
                <w:b/>
                <w:color w:val="0F2B48"/>
                <w:sz w:val="22"/>
              </w:rPr>
              <w:t>ADR-01: Two-Expert Decoupled Architecture (Quantitative GNN + Qualitative SLM)</w:t>
            </w:r>
          </w:p>
          <w:p>
            <w:pPr>
              <w:spacing w:before="0" w:after="120"/>
            </w:pPr>
            <w:r>
              <w:rPr>
                <w:rFonts w:ascii="Segoe UI" w:hAnsi="Segoe UI"/>
                <w:b/>
                <w:color w:val="64748B"/>
                <w:sz w:val="18"/>
              </w:rPr>
              <w:t xml:space="preserve">Status: </w:t>
            </w:r>
            <w:r>
              <w:rPr>
                <w:rFonts w:ascii="Segoe UI" w:hAnsi="Segoe UI"/>
                <w:b/>
                <w:color w:val="0D9488"/>
                <w:sz w:val="18"/>
              </w:rPr>
              <w:t>Accepted (Pre-Implementation Architectural Decision)</w:t>
            </w:r>
          </w:p>
          <w:p>
            <w:pPr>
              <w:spacing w:before="40" w:after="80" w:line="276" w:lineRule="auto"/>
            </w:pPr>
            <w:r>
              <w:rPr>
                <w:rFonts w:ascii="Segoe UI" w:hAnsi="Segoe UI"/>
                <w:b/>
                <w:color w:val="0F2B48"/>
                <w:sz w:val="19"/>
              </w:rPr>
              <w:t xml:space="preserve">Context &amp; Problem (Design-Time): </w:t>
            </w:r>
            <w:r>
              <w:rPr>
                <w:rFonts w:ascii="Segoe UI" w:hAnsi="Segoe UI"/>
                <w:color w:val="222222"/>
                <w:sz w:val="19"/>
              </w:rPr>
              <w:t>Modern football tactical analysis demands both rigorous probabilistic calibration (win/draw/away distributions, goal margins) and deep contextual tactical nuance (formation mismatches, pressing traps, squad morale). Monolithic Large Language Models fail at calibrated numerical reasoning and hallucinate probabilities. Conversely, pure statistical models (Elo, Poisson regressions, gradient-boosted trees) output opaque numerical scores without coaching rationale or explanatory depth.</w:t>
            </w:r>
          </w:p>
          <w:p>
            <w:pPr>
              <w:spacing w:before="40" w:after="80" w:line="276" w:lineRule="auto"/>
            </w:pPr>
            <w:r>
              <w:rPr>
                <w:rFonts w:ascii="Segoe UI" w:hAnsi="Segoe UI"/>
                <w:b/>
                <w:color w:val="0F2B48"/>
                <w:sz w:val="19"/>
              </w:rPr>
              <w:t xml:space="preserve">Architectural Decision: </w:t>
            </w:r>
            <w:r>
              <w:rPr>
                <w:rFonts w:ascii="Segoe UI" w:hAnsi="Segoe UI"/>
                <w:color w:val="222222"/>
                <w:sz w:val="19"/>
              </w:rPr>
              <w:t>Adopt a decoupled Two-Expert cooperative architecture: Expert 1 is a Temporal Edge-Attributed Graph Neural Network (TEA-GNN, exported to ONNX) focused purely on structural graph embeddings and deterministic match outcome probabilities. Expert 2 is a domain-fine-tuned Small Language Model (SLM based on Qwen3/SmolLM2) focused exclusively on qualitative tactical reasoning, conditioned upon Expert 1's calibrated outputs and grounded by retrieved graph context.</w:t>
            </w:r>
          </w:p>
          <w:p>
            <w:pPr>
              <w:spacing w:before="40" w:after="40" w:line="276" w:lineRule="auto"/>
            </w:pPr>
            <w:r>
              <w:rPr>
                <w:rFonts w:ascii="Segoe UI" w:hAnsi="Segoe UI"/>
                <w:b/>
                <w:color w:val="0F2B48"/>
                <w:sz w:val="19"/>
              </w:rPr>
              <w:t xml:space="preserve">Consequences &amp; Trade-offs: </w:t>
            </w:r>
            <w:r>
              <w:rPr>
                <w:rFonts w:ascii="Segoe UI" w:hAnsi="Segoe UI"/>
                <w:color w:val="222222"/>
                <w:sz w:val="19"/>
              </w:rPr>
              <w:t>Positive: Decouples mathematical calibration from natural language generation; allows independent model retraining schedules; provides deterministic probabilities paired with explainable coaching narratives. Trade-off: Requires inter-model data contracts and orchestrating context flow between the GNN runner and language model prompt synthesizer.</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792"/>
            <w:shd w:fill="F0F7FD"/>
            <w:tcMar>
              <w:top w:w="140" w:type="dxa"/>
              <w:bottom w:w="140" w:type="dxa"/>
              <w:left w:w="200" w:type="dxa"/>
              <w:right w:w="180" w:type="dxa"/>
            </w:tcMar>
            <w:tcBorders>
              <w:top w:val="single" w:sz="6" w:space="0" w:color="1A6FB0"/>
              <w:left w:val="single" w:sz="24" w:space="0" w:color="0F2B48"/>
              <w:bottom w:val="single" w:sz="6" w:space="0" w:color="1A6FB0"/>
              <w:right w:val="single" w:sz="6" w:space="0" w:color="1A6FB0"/>
            </w:tcBorders>
          </w:tcPr>
          <w:p>
            <w:pPr>
              <w:spacing w:before="0" w:after="40"/>
            </w:pPr>
            <w:r>
              <w:rPr>
                <w:rFonts w:ascii="Segoe UI" w:hAnsi="Segoe UI"/>
                <w:b/>
                <w:color w:val="0F2B48"/>
                <w:sz w:val="22"/>
              </w:rPr>
              <w:t>ADR-02: BentoML Unified Serving Gateway with In-Process ASGI Application Mounting</w:t>
            </w:r>
          </w:p>
          <w:p>
            <w:pPr>
              <w:spacing w:before="0" w:after="120"/>
            </w:pPr>
            <w:r>
              <w:rPr>
                <w:rFonts w:ascii="Segoe UI" w:hAnsi="Segoe UI"/>
                <w:b/>
                <w:color w:val="64748B"/>
                <w:sz w:val="18"/>
              </w:rPr>
              <w:t xml:space="preserve">Status: </w:t>
            </w:r>
            <w:r>
              <w:rPr>
                <w:rFonts w:ascii="Segoe UI" w:hAnsi="Segoe UI"/>
                <w:b/>
                <w:color w:val="0D9488"/>
                <w:sz w:val="18"/>
              </w:rPr>
              <w:t>Accepted (Pre-Implementation Architectural Decision)</w:t>
            </w:r>
          </w:p>
          <w:p>
            <w:pPr>
              <w:spacing w:before="40" w:after="80" w:line="276" w:lineRule="auto"/>
            </w:pPr>
            <w:r>
              <w:rPr>
                <w:rFonts w:ascii="Segoe UI" w:hAnsi="Segoe UI"/>
                <w:b/>
                <w:color w:val="0F2B48"/>
                <w:sz w:val="19"/>
              </w:rPr>
              <w:t xml:space="preserve">Context &amp; Problem (Design-Time): </w:t>
            </w:r>
            <w:r>
              <w:rPr>
                <w:rFonts w:ascii="Segoe UI" w:hAnsi="Segoe UI"/>
                <w:color w:val="222222"/>
                <w:sz w:val="19"/>
              </w:rPr>
              <w:t>The platform must support heterogeneous production traffic: low-latency interactive REST and GraphQL endpoints for tactical web dashboards alongside high-throughput dynamic request batching for GNN tensor inference. Deploying independent web servers and model inference microservices introduces unnecessary inter-service network hops, serialization overhead, duplicate routing logic, and complex multi-container port management.</w:t>
            </w:r>
          </w:p>
          <w:p>
            <w:pPr>
              <w:spacing w:before="40" w:after="80" w:line="276" w:lineRule="auto"/>
            </w:pPr>
            <w:r>
              <w:rPr>
                <w:rFonts w:ascii="Segoe UI" w:hAnsi="Segoe UI"/>
                <w:b/>
                <w:color w:val="0F2B48"/>
                <w:sz w:val="19"/>
              </w:rPr>
              <w:t xml:space="preserve">Architectural Decision: </w:t>
            </w:r>
            <w:r>
              <w:rPr>
                <w:rFonts w:ascii="Segoe UI" w:hAnsi="Segoe UI"/>
                <w:color w:val="222222"/>
                <w:sz w:val="19"/>
              </w:rPr>
              <w:t>Select BentoML 1.4+ as the unified model serving gateway and ingress controller on host port 8001. Mount the comprehensive FastAPI application directly at the root path ('/') using BentoML's native ASGI integration (@bentoml.asgi_app(fastapi_app, path='/')). Simultaneously expose native adaptive dynamic batching endpoints (/predict_match_batch) for high-throughput GNN scoring alongside standard REST, GraphQL, static assets, and Prometheus scraping.</w:t>
            </w:r>
          </w:p>
          <w:p>
            <w:pPr>
              <w:spacing w:before="40" w:after="40" w:line="276" w:lineRule="auto"/>
            </w:pPr>
            <w:r>
              <w:rPr>
                <w:rFonts w:ascii="Segoe UI" w:hAnsi="Segoe UI"/>
                <w:b/>
                <w:color w:val="0F2B48"/>
                <w:sz w:val="19"/>
              </w:rPr>
              <w:t xml:space="preserve">Consequences &amp; Trade-offs: </w:t>
            </w:r>
            <w:r>
              <w:rPr>
                <w:rFonts w:ascii="Segoe UI" w:hAnsi="Segoe UI"/>
                <w:color w:val="222222"/>
                <w:sz w:val="19"/>
              </w:rPr>
              <w:t>Positive: Single unified ingress port (:8001); eliminates inter-process HTTP hops for local GNN scoring; provides built-in adaptive micro-batching; natively integrates Prometheus /metrics exposition. Trade-off: Tight integration with BentoML lifecycle requires managing ASGI event loop thread offloading for blocking computational operations.</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792"/>
            <w:shd w:fill="F0F7FD"/>
            <w:tcMar>
              <w:top w:w="140" w:type="dxa"/>
              <w:bottom w:w="140" w:type="dxa"/>
              <w:left w:w="200" w:type="dxa"/>
              <w:right w:w="180" w:type="dxa"/>
            </w:tcMar>
            <w:tcBorders>
              <w:top w:val="single" w:sz="6" w:space="0" w:color="1A6FB0"/>
              <w:left w:val="single" w:sz="24" w:space="0" w:color="0F2B48"/>
              <w:bottom w:val="single" w:sz="6" w:space="0" w:color="1A6FB0"/>
              <w:right w:val="single" w:sz="6" w:space="0" w:color="1A6FB0"/>
            </w:tcBorders>
          </w:tcPr>
          <w:p>
            <w:pPr>
              <w:spacing w:before="0" w:after="40"/>
            </w:pPr>
            <w:r>
              <w:rPr>
                <w:rFonts w:ascii="Segoe UI" w:hAnsi="Segoe UI"/>
                <w:b/>
                <w:color w:val="0F2B48"/>
                <w:sz w:val="22"/>
              </w:rPr>
              <w:t>ADR-03: Analytical Closed-Form Poisson Conditioning for Sub-50ms Live In-Match Forecasting</w:t>
            </w:r>
          </w:p>
          <w:p>
            <w:pPr>
              <w:spacing w:before="0" w:after="120"/>
            </w:pPr>
            <w:r>
              <w:rPr>
                <w:rFonts w:ascii="Segoe UI" w:hAnsi="Segoe UI"/>
                <w:b/>
                <w:color w:val="64748B"/>
                <w:sz w:val="18"/>
              </w:rPr>
              <w:t xml:space="preserve">Status: </w:t>
            </w:r>
            <w:r>
              <w:rPr>
                <w:rFonts w:ascii="Segoe UI" w:hAnsi="Segoe UI"/>
                <w:b/>
                <w:color w:val="0D9488"/>
                <w:sz w:val="18"/>
              </w:rPr>
              <w:t>Accepted (Pre-Implementation Architectural Decision)</w:t>
            </w:r>
          </w:p>
          <w:p>
            <w:pPr>
              <w:spacing w:before="40" w:after="80" w:line="276" w:lineRule="auto"/>
            </w:pPr>
            <w:r>
              <w:rPr>
                <w:rFonts w:ascii="Segoe UI" w:hAnsi="Segoe UI"/>
                <w:b/>
                <w:color w:val="0F2B48"/>
                <w:sz w:val="19"/>
              </w:rPr>
              <w:t xml:space="preserve">Context &amp; Problem (Design-Time): </w:t>
            </w:r>
            <w:r>
              <w:rPr>
                <w:rFonts w:ascii="Segoe UI" w:hAnsi="Segoe UI"/>
                <w:color w:val="222222"/>
                <w:sz w:val="19"/>
              </w:rPr>
              <w:t>Tactical adjustments during live matches demand sub-second latency upon in-game events (goals, red cards, substitutions) to support immediate touchline coaching decisions. Re-running deep graph neural networks or invoking autoregressive LLMs live during a match takes 15 to 35 seconds, which would exhaust server GPU memory and introduce intolerable latency on the critical live coaching path.</w:t>
            </w:r>
          </w:p>
          <w:p>
            <w:pPr>
              <w:spacing w:before="40" w:after="80" w:line="276" w:lineRule="auto"/>
            </w:pPr>
            <w:r>
              <w:rPr>
                <w:rFonts w:ascii="Segoe UI" w:hAnsi="Segoe UI"/>
                <w:b/>
                <w:color w:val="0F2B48"/>
                <w:sz w:val="19"/>
              </w:rPr>
              <w:t xml:space="preserve">Architectural Decision: </w:t>
            </w:r>
            <w:r>
              <w:rPr>
                <w:rFonts w:ascii="Segoe UI" w:hAnsi="Segoe UI"/>
                <w:color w:val="222222"/>
                <w:sz w:val="19"/>
              </w:rPr>
              <w:t>Design and implement an analytical in-match live conditioning engine using closed-form Poisson parameter inversion in live_match_engine.py. Pre-match GNN probabilities are analytically inverted into base expected goal intensities (lambda_H, lambda_A). During live matches, the engine conditions these intensities in closed form on elapsed match minute, current scoreline, live pace factors, and red card attrition multipliers using analytical bivariate/univariate Poisson math.</w:t>
            </w:r>
          </w:p>
          <w:p>
            <w:pPr>
              <w:spacing w:before="40" w:after="40" w:line="276" w:lineRule="auto"/>
            </w:pPr>
            <w:r>
              <w:rPr>
                <w:rFonts w:ascii="Segoe UI" w:hAnsi="Segoe UI"/>
                <w:b/>
                <w:color w:val="0F2B48"/>
                <w:sz w:val="19"/>
              </w:rPr>
              <w:t xml:space="preserve">Consequences &amp; Trade-offs: </w:t>
            </w:r>
            <w:r>
              <w:rPr>
                <w:rFonts w:ascii="Segoe UI" w:hAnsi="Segoe UI"/>
                <w:color w:val="222222"/>
                <w:sz w:val="19"/>
              </w:rPr>
              <w:t>Positive: Instantaneous sub-50ms deterministic recalculation on CPU threads; zero GPU resource consumption during live games; mathematically consistent probability curves across all 90+ match minutes. Trade-off: Live probability updates provide numerical distributions rather than generating new textual tactical commentary on every minute tick.</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792"/>
            <w:shd w:fill="F0F7FD"/>
            <w:tcMar>
              <w:top w:w="140" w:type="dxa"/>
              <w:bottom w:w="140" w:type="dxa"/>
              <w:left w:w="200" w:type="dxa"/>
              <w:right w:w="180" w:type="dxa"/>
            </w:tcMar>
            <w:tcBorders>
              <w:top w:val="single" w:sz="6" w:space="0" w:color="1A6FB0"/>
              <w:left w:val="single" w:sz="24" w:space="0" w:color="0F2B48"/>
              <w:bottom w:val="single" w:sz="6" w:space="0" w:color="1A6FB0"/>
              <w:right w:val="single" w:sz="6" w:space="0" w:color="1A6FB0"/>
            </w:tcBorders>
          </w:tcPr>
          <w:p>
            <w:pPr>
              <w:spacing w:before="0" w:after="40"/>
            </w:pPr>
            <w:r>
              <w:rPr>
                <w:rFonts w:ascii="Segoe UI" w:hAnsi="Segoe UI"/>
                <w:b/>
                <w:color w:val="0F2B48"/>
                <w:sz w:val="22"/>
              </w:rPr>
              <w:t>ADR-04: Hybrid Dual Knowledge Graph (Neo4j) &amp; Dense Vector (FAISS/pgvector) Grounding Strategy</w:t>
            </w:r>
          </w:p>
          <w:p>
            <w:pPr>
              <w:spacing w:before="0" w:after="120"/>
            </w:pPr>
            <w:r>
              <w:rPr>
                <w:rFonts w:ascii="Segoe UI" w:hAnsi="Segoe UI"/>
                <w:b/>
                <w:color w:val="64748B"/>
                <w:sz w:val="18"/>
              </w:rPr>
              <w:t xml:space="preserve">Status: </w:t>
            </w:r>
            <w:r>
              <w:rPr>
                <w:rFonts w:ascii="Segoe UI" w:hAnsi="Segoe UI"/>
                <w:b/>
                <w:color w:val="0D9488"/>
                <w:sz w:val="18"/>
              </w:rPr>
              <w:t>Accepted (Pre-Implementation Architectural Decision)</w:t>
            </w:r>
          </w:p>
          <w:p>
            <w:pPr>
              <w:spacing w:before="40" w:after="80" w:line="276" w:lineRule="auto"/>
            </w:pPr>
            <w:r>
              <w:rPr>
                <w:rFonts w:ascii="Segoe UI" w:hAnsi="Segoe UI"/>
                <w:b/>
                <w:color w:val="0F2B48"/>
                <w:sz w:val="19"/>
              </w:rPr>
              <w:t xml:space="preserve">Context &amp; Problem (Design-Time): </w:t>
            </w:r>
            <w:r>
              <w:rPr>
                <w:rFonts w:ascii="Segoe UI" w:hAnsi="Segoe UI"/>
                <w:color w:val="222222"/>
                <w:sz w:val="19"/>
              </w:rPr>
              <w:t>Football domain knowledge is fundamentally dual-natured: it encompasses discrete multi-hop relational structures (head-to-head records across seasons, manager career matchups, player transfer and injury histories) and dense semantic descriptive knowledge (scouting narratives, tactical style descriptions, pressing vulnerability analyses). Pure vector embeddings fail at multi-hop relational graph traversals, while pure graph databases cannot compute semantic similarity over narrative scouting texts.</w:t>
            </w:r>
          </w:p>
          <w:p>
            <w:pPr>
              <w:spacing w:before="40" w:after="80" w:line="276" w:lineRule="auto"/>
            </w:pPr>
            <w:r>
              <w:rPr>
                <w:rFonts w:ascii="Segoe UI" w:hAnsi="Segoe UI"/>
                <w:b/>
                <w:color w:val="0F2B48"/>
                <w:sz w:val="19"/>
              </w:rPr>
              <w:t xml:space="preserve">Architectural Decision: </w:t>
            </w:r>
            <w:r>
              <w:rPr>
                <w:rFonts w:ascii="Segoe UI" w:hAnsi="Segoe UI"/>
                <w:color w:val="222222"/>
                <w:sz w:val="19"/>
              </w:rPr>
              <w:t>Architect a hybrid Dual-Retriever RAG pipeline combining Neo4j (property graph traversed via Cypher for structural paths, head-to-head sequences, and managerial records) and pgvector/FAISS (dense semantic vector embeddings using all-MiniLM-L6-v2 for unstructured scouting reports). Contexts from both retrievers are merged and structured prior to SLM prompt assembly.</w:t>
            </w:r>
          </w:p>
          <w:p>
            <w:pPr>
              <w:spacing w:before="40" w:after="40" w:line="276" w:lineRule="auto"/>
            </w:pPr>
            <w:r>
              <w:rPr>
                <w:rFonts w:ascii="Segoe UI" w:hAnsi="Segoe UI"/>
                <w:b/>
                <w:color w:val="0F2B48"/>
                <w:sz w:val="19"/>
              </w:rPr>
              <w:t xml:space="preserve">Consequences &amp; Trade-offs: </w:t>
            </w:r>
            <w:r>
              <w:rPr>
                <w:rFonts w:ascii="Segoe UI" w:hAnsi="Segoe UI"/>
                <w:color w:val="222222"/>
                <w:sz w:val="19"/>
              </w:rPr>
              <w:t>Positive: Eliminates factual and relational hallucinations; grounds tactical explanations in empirical graph facts; supports complex queries bridging historical records and qualitative tactical profiles. Trade-off: Requires maintaining synchronization between the relational store (Postgres), graph database (Neo4j), and vector indices (FAISS/pgvector) via Airflow ETL pipelines.</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792"/>
            <w:shd w:fill="F0F7FD"/>
            <w:tcMar>
              <w:top w:w="140" w:type="dxa"/>
              <w:bottom w:w="140" w:type="dxa"/>
              <w:left w:w="200" w:type="dxa"/>
              <w:right w:w="180" w:type="dxa"/>
            </w:tcMar>
            <w:tcBorders>
              <w:top w:val="single" w:sz="6" w:space="0" w:color="1A6FB0"/>
              <w:left w:val="single" w:sz="24" w:space="0" w:color="0F2B48"/>
              <w:bottom w:val="single" w:sz="6" w:space="0" w:color="1A6FB0"/>
              <w:right w:val="single" w:sz="6" w:space="0" w:color="1A6FB0"/>
            </w:tcBorders>
          </w:tcPr>
          <w:p>
            <w:pPr>
              <w:spacing w:before="0" w:after="40"/>
            </w:pPr>
            <w:r>
              <w:rPr>
                <w:rFonts w:ascii="Segoe UI" w:hAnsi="Segoe UI"/>
                <w:b/>
                <w:color w:val="0F2B48"/>
                <w:sz w:val="22"/>
              </w:rPr>
              <w:t>ADR-05: Domain-Specialized On-Premise Small Language Model (SLM) vs. Commercial Cloud APIs</w:t>
            </w:r>
          </w:p>
          <w:p>
            <w:pPr>
              <w:spacing w:before="0" w:after="120"/>
            </w:pPr>
            <w:r>
              <w:rPr>
                <w:rFonts w:ascii="Segoe UI" w:hAnsi="Segoe UI"/>
                <w:b/>
                <w:color w:val="64748B"/>
                <w:sz w:val="18"/>
              </w:rPr>
              <w:t xml:space="preserve">Status: </w:t>
            </w:r>
            <w:r>
              <w:rPr>
                <w:rFonts w:ascii="Segoe UI" w:hAnsi="Segoe UI"/>
                <w:b/>
                <w:color w:val="0D9488"/>
                <w:sz w:val="18"/>
              </w:rPr>
              <w:t>Accepted (Pre-Implementation Architectural Decision)</w:t>
            </w:r>
          </w:p>
          <w:p>
            <w:pPr>
              <w:spacing w:before="40" w:after="80" w:line="276" w:lineRule="auto"/>
            </w:pPr>
            <w:r>
              <w:rPr>
                <w:rFonts w:ascii="Segoe UI" w:hAnsi="Segoe UI"/>
                <w:b/>
                <w:color w:val="0F2B48"/>
                <w:sz w:val="19"/>
              </w:rPr>
              <w:t xml:space="preserve">Context &amp; Problem (Design-Time): </w:t>
            </w:r>
            <w:r>
              <w:rPr>
                <w:rFonts w:ascii="Segoe UI" w:hAnsi="Segoe UI"/>
                <w:color w:val="222222"/>
                <w:sz w:val="19"/>
              </w:rPr>
              <w:t>Relying on commercial cloud LLM APIs (e.g., OpenAI GPT-4, Anthropic Claude) introduces variable per-token operational expenses, unpredictable external network latency, external data privacy risks for confidential club scouting dossiers, and a lack of fine-tuned domain mastery over football tactical concepts.</w:t>
            </w:r>
          </w:p>
          <w:p>
            <w:pPr>
              <w:spacing w:before="40" w:after="80" w:line="276" w:lineRule="auto"/>
            </w:pPr>
            <w:r>
              <w:rPr>
                <w:rFonts w:ascii="Segoe UI" w:hAnsi="Segoe UI"/>
                <w:b/>
                <w:color w:val="0F2B48"/>
                <w:sz w:val="19"/>
              </w:rPr>
              <w:t xml:space="preserve">Architectural Decision: </w:t>
            </w:r>
            <w:r>
              <w:rPr>
                <w:rFonts w:ascii="Segoe UI" w:hAnsi="Segoe UI"/>
                <w:color w:val="222222"/>
                <w:sz w:val="19"/>
              </w:rPr>
              <w:t>Pre-train and fine-tune an open-weights Small Language Model (aliosama8399/football-analysisN, 3B parameter Qwen3/SmolLM2 architecture) specialized on structured tactical datasets. Deploy the model on-premise / in-cluster via an optimized inference sidecar (vLLM / ONNX Runtime GenAI) with bounded VRAM allocation (0.60 memory fraction) to safely coexist with GNN model workloads.</w:t>
            </w:r>
          </w:p>
          <w:p>
            <w:pPr>
              <w:spacing w:before="40" w:after="40" w:line="276" w:lineRule="auto"/>
            </w:pPr>
            <w:r>
              <w:rPr>
                <w:rFonts w:ascii="Segoe UI" w:hAnsi="Segoe UI"/>
                <w:b/>
                <w:color w:val="0F2B48"/>
                <w:sz w:val="19"/>
              </w:rPr>
              <w:t xml:space="preserve">Consequences &amp; Trade-offs: </w:t>
            </w:r>
            <w:r>
              <w:rPr>
                <w:rFonts w:ascii="Segoe UI" w:hAnsi="Segoe UI"/>
                <w:color w:val="222222"/>
                <w:sz w:val="19"/>
              </w:rPr>
              <w:t>Positive: Full data sovereignty and zero external confidential data leakage; zero per-token inference cost; deterministic offline availability; bounded VRAM footprint; football-specific tactical reasoning. Trade-off: Requires dedicated host GPU resources (minimum 8GB VRAM) and internal model maintenance and weight checkpoint management.</w:t>
            </w:r>
          </w:p>
        </w:tc>
      </w:tr>
    </w:tbl>
    <w:p>
      <w:pPr>
        <w:spacing w:before="0" w:after="120"/>
      </w:pPr>
    </w:p>
    <w:p>
      <w:pPr>
        <w:spacing w:before="320" w:after="80"/>
      </w:pPr>
      <w:r>
        <w:rPr>
          <w:rFonts w:ascii="Segoe UI" w:hAnsi="Segoe UI"/>
          <w:b/>
          <w:color w:val="0F2B48"/>
          <w:sz w:val="30"/>
        </w:rPr>
        <w:t>6. Architectural Compliance &amp; Verification Matrix</w:t>
      </w:r>
    </w:p>
    <w:p>
      <w:pPr>
        <w:spacing w:line="276" w:lineRule="auto" w:after="120"/>
      </w:pPr>
      <w:r>
        <w:rPr>
          <w:rFonts w:ascii="Segoe UI" w:hAnsi="Segoe UI"/>
          <w:color w:val="222222"/>
          <w:sz w:val="20"/>
        </w:rPr>
        <w:t>The following matrix summarizes how the pre-implementation architectural decisions (ADRs) directly satisfy the ranked Quality Attributes (P0 to P4) established under the ATAM framework:</w:t>
      </w:r>
    </w:p>
    <w:tbl>
      <w:tblPr>
        <w:tblW w:type="auto" w:w="0"/>
        <w:jc w:val="center"/>
        <w:tblLayout w:type="fixed"/>
        <w:tblLook w:firstColumn="1" w:firstRow="1" w:lastColumn="0" w:lastRow="0" w:noHBand="0" w:noVBand="1" w:val="04A0"/>
      </w:tblPr>
      <w:tblGrid>
        <w:gridCol w:w="2448"/>
        <w:gridCol w:w="2448"/>
        <w:gridCol w:w="2448"/>
        <w:gridCol w:w="2448"/>
      </w:tblGrid>
      <w:tr>
        <w:trPr>
          <w:tblHeader/>
          <w:cantSplit/>
        </w:trPr>
        <w:tc>
          <w:tcPr>
            <w:tcW w:type="dxa" w:w="1152"/>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Priority</w:t>
            </w:r>
          </w:p>
        </w:tc>
        <w:tc>
          <w:tcPr>
            <w:tcW w:type="dxa" w:w="2592"/>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Quality Attribute</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Governing ADRs</w:t>
            </w:r>
          </w:p>
        </w:tc>
        <w:tc>
          <w:tcPr>
            <w:tcW w:type="dxa" w:w="3312"/>
            <w:tcMar>
              <w:top w:w="100" w:type="dxa"/>
              <w:bottom w:w="100" w:type="dxa"/>
              <w:left w:w="130" w:type="dxa"/>
              <w:right w:w="130" w:type="dxa"/>
            </w:tcMar>
            <w:vAlign w:val="center"/>
            <w:tcBorders>
              <w:top w:val="single" w:sz="4" w:space="0" w:color="CBD5E1"/>
              <w:left w:val="none"/>
              <w:bottom w:val="single" w:sz="4" w:space="0" w:color="CBD5E1"/>
              <w:right w:val="none"/>
            </w:tcBorders>
            <w:shd w:fill="0F2B48"/>
          </w:tcPr>
          <w:p>
            <w:pPr>
              <w:spacing w:before="60" w:after="60"/>
            </w:pPr>
            <w:r>
              <w:rPr>
                <w:rFonts w:ascii="Segoe UI" w:hAnsi="Segoe UI"/>
                <w:b/>
                <w:color w:val="FFFFFF"/>
                <w:sz w:val="19"/>
              </w:rPr>
              <w:t>Verification Method</w:t>
            </w:r>
          </w:p>
        </w:tc>
      </w:tr>
      <w:tr>
        <w:trPr>
          <w:cantSplit/>
        </w:trPr>
        <w:tc>
          <w:tcPr>
            <w:tcW w:type="dxa" w:w="115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P0</w:t>
            </w:r>
          </w:p>
        </w:tc>
        <w:tc>
          <w:tcPr>
            <w:tcW w:type="dxa" w:w="259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Correctness &amp; Grounding</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ADR-01, ADR-04</w:t>
            </w:r>
          </w:p>
        </w:tc>
        <w:tc>
          <w:tcPr>
            <w:tcW w:type="dxa" w:w="331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Continuous automated RAGAS evaluation DAGs verifying faithfulness (&gt;0.85) and answer relevancy (&gt;0.80).</w:t>
            </w:r>
          </w:p>
        </w:tc>
      </w:tr>
      <w:tr>
        <w:trPr>
          <w:cantSplit/>
        </w:trPr>
        <w:tc>
          <w:tcPr>
            <w:tcW w:type="dxa" w:w="1152"/>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P1</w:t>
            </w:r>
          </w:p>
        </w:tc>
        <w:tc>
          <w:tcPr>
            <w:tcW w:type="dxa" w:w="2592"/>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Latency &amp; Performance</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ADR-02, ADR-03</w:t>
            </w:r>
          </w:p>
        </w:tc>
        <w:tc>
          <w:tcPr>
            <w:tcW w:type="dxa" w:w="3312"/>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Locust load testing benchmark: live Poisson simulation &lt;50ms; pre-match GNN scoring &lt;200ms; Prometheus latency histograms.</w:t>
            </w:r>
          </w:p>
        </w:tc>
      </w:tr>
      <w:tr>
        <w:trPr>
          <w:cantSplit/>
        </w:trPr>
        <w:tc>
          <w:tcPr>
            <w:tcW w:type="dxa" w:w="115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P2</w:t>
            </w:r>
          </w:p>
        </w:tc>
        <w:tc>
          <w:tcPr>
            <w:tcW w:type="dxa" w:w="259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Modularity &amp; Extensibility</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ADR-01, ADR-02, ADR-05</w:t>
            </w:r>
          </w:p>
        </w:tc>
        <w:tc>
          <w:tcPr>
            <w:tcW w:type="dxa" w:w="331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Independent container deployment tests; verified ONNX model hot-swapping and vLLM model checkpoint reloading.</w:t>
            </w:r>
          </w:p>
        </w:tc>
      </w:tr>
      <w:tr>
        <w:trPr>
          <w:cantSplit/>
        </w:trPr>
        <w:tc>
          <w:tcPr>
            <w:tcW w:type="dxa" w:w="1152"/>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P3</w:t>
            </w:r>
          </w:p>
        </w:tc>
        <w:tc>
          <w:tcPr>
            <w:tcW w:type="dxa" w:w="2592"/>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Observability &amp; MLOps</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ADR-02, ADR-04</w:t>
            </w:r>
          </w:p>
        </w:tc>
        <w:tc>
          <w:tcPr>
            <w:tcW w:type="dxa" w:w="3312"/>
            <w:tcMar>
              <w:top w:w="100" w:type="dxa"/>
              <w:bottom w:w="100" w:type="dxa"/>
              <w:left w:w="130" w:type="dxa"/>
              <w:right w:w="130" w:type="dxa"/>
            </w:tcMar>
            <w:vAlign w:val="center"/>
            <w:tcBorders>
              <w:top w:val="single" w:sz="4" w:space="0" w:color="CBD5E1"/>
              <w:left w:val="none"/>
              <w:bottom w:val="single" w:sz="4" w:space="0" w:color="CBD5E1"/>
              <w:right w:val="none"/>
            </w:tcBorders>
            <w:shd w:fill="FFFFFF"/>
          </w:tcPr>
          <w:p>
            <w:pPr>
              <w:spacing w:before="50" w:after="50"/>
            </w:pPr>
            <w:r>
              <w:rPr>
                <w:rFonts w:ascii="Segoe UI" w:hAnsi="Segoe UI"/>
                <w:color w:val="222222"/>
                <w:sz w:val="18"/>
              </w:rPr>
              <w:t>Prometheus automated scraping validation (:8001/metrics); 5D online drift metric alert rules; Grafana dashboard visual verification.</w:t>
            </w:r>
          </w:p>
        </w:tc>
      </w:tr>
      <w:tr>
        <w:trPr>
          <w:cantSplit/>
        </w:trPr>
        <w:tc>
          <w:tcPr>
            <w:tcW w:type="dxa" w:w="115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P4</w:t>
            </w:r>
          </w:p>
        </w:tc>
        <w:tc>
          <w:tcPr>
            <w:tcW w:type="dxa" w:w="259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Security &amp; Multi-Tenancy</w:t>
            </w:r>
          </w:p>
        </w:tc>
        <w:tc>
          <w:tcPr>
            <w:tcW w:type="dxa" w:w="2304"/>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ADR-05</w:t>
            </w:r>
          </w:p>
        </w:tc>
        <w:tc>
          <w:tcPr>
            <w:tcW w:type="dxa" w:w="3312"/>
            <w:tcMar>
              <w:top w:w="100" w:type="dxa"/>
              <w:bottom w:w="100" w:type="dxa"/>
              <w:left w:w="130" w:type="dxa"/>
              <w:right w:w="130" w:type="dxa"/>
            </w:tcMar>
            <w:vAlign w:val="center"/>
            <w:tcBorders>
              <w:top w:val="single" w:sz="4" w:space="0" w:color="CBD5E1"/>
              <w:left w:val="none"/>
              <w:bottom w:val="single" w:sz="4" w:space="0" w:color="CBD5E1"/>
              <w:right w:val="none"/>
            </w:tcBorders>
            <w:shd w:fill="F8FAFC"/>
          </w:tcPr>
          <w:p>
            <w:pPr>
              <w:spacing w:before="50" w:after="50"/>
            </w:pPr>
            <w:r>
              <w:rPr>
                <w:rFonts w:ascii="Segoe UI" w:hAnsi="Segoe UI"/>
                <w:color w:val="222222"/>
                <w:sz w:val="18"/>
              </w:rPr>
              <w:t>Static vulnerability scans; OAuth2/JWT role enforcement integration tests; local network isolation of proprietary club data.</w:t>
            </w:r>
          </w:p>
        </w:tc>
      </w:tr>
    </w:tbl>
    <w:p>
      <w:pPr>
        <w:spacing w:after="240"/>
      </w:pP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64748B"/>
        <w:sz w:val="17"/>
      </w:rPr>
      <w:t>Architecture Baseline — Two-Expert GNN + Grounded RAG Platform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Football Match Prediction &amp; Tactical Analysis SaaS | Architecture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