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D2B"/>
          <w:sz w:val="40"/>
          <w:szCs w:val="40"/>
        </w:rPr>
        <w:t xml:space="preserve">Guide de configuration d’un nouveau client</w:t>
      </w:r>
    </w:p>
    <w:p>
      <w:pPr>
        <w:spacing w:after="300"/>
      </w:pPr>
      <w:r>
        <w:rPr>
          <w:i/>
          <w:iCs/>
          <w:color w:val="595959"/>
          <w:sz w:val="22"/>
          <w:szCs w:val="22"/>
        </w:rPr>
        <w:t xml:space="preserve">Usage interne — étapes techniques pour provisionner une nouvelle ferme sur la plateforme ERP</w:t>
      </w:r>
    </w:p>
    <w:p>
      <w:pPr>
        <w:pBdr>
          <w:bottom w:val="single" w:color="CCCCCC" w:sz="6" w:space="1"/>
        </w:pBdr>
        <w:spacing w:after="200"/>
      </w:pPr>
    </w:p>
    <w:p>
      <w:pPr>
        <w:pStyle w:val="Heading1"/>
        <w:spacing w:after="150" w:before="320"/>
      </w:pPr>
      <w:r>
        <w:t xml:space="preserve">Avant de commencer</w:t>
      </w:r>
    </w:p>
    <w:p>
      <w:pPr>
        <w:spacing w:after="120"/>
      </w:pPr>
      <w:r>
        <w:t xml:space="preserve">Il n’existe pas encore d’inscription automatique : la création d’une nouvelle organisation (nouvelle ferme cliente) se fait par vous, une seule fois, directement dans la base de données. Une fois cette étape faite, le client configure tout le reste lui-même depuis l’application (aucune autre intervention technique de votre part n’est nécessaire).</w:t>
      </w:r>
    </w:p>
    <w:p>
      <w:pPr>
        <w:pStyle w:val="Heading2"/>
        <w:spacing w:after="100" w:before="240"/>
      </w:pPr>
      <w:r>
        <w:t xml:space="preserve">Informations à obtenir du client avant de commencer</w:t>
      </w:r>
    </w:p>
    <w:p>
      <w:pPr>
        <w:pStyle w:val="ListParagraph"/>
        <w:numPr>
          <w:ilvl w:val="0"/>
          <w:numId w:val="2"/>
        </w:numPr>
        <w:spacing w:after="80"/>
      </w:pPr>
      <w:r>
        <w:t xml:space="preserve">Le nom de sa ferme (affiché dans les rapports internes).</w:t>
      </w:r>
    </w:p>
    <w:p>
      <w:pPr>
        <w:pStyle w:val="ListParagraph"/>
        <w:numPr>
          <w:ilvl w:val="0"/>
          <w:numId w:val="2"/>
        </w:numPr>
        <w:spacing w:after="80"/>
      </w:pPr>
      <w:r>
        <w:t xml:space="preserve">Le nom complet et l’adresse email de la personne qui sera administratrice de son compte.</w:t>
      </w:r>
    </w:p>
    <w:p>
      <w:pPr>
        <w:pStyle w:val="ListParagraph"/>
        <w:numPr>
          <w:ilvl w:val="0"/>
          <w:numId w:val="2"/>
        </w:numPr>
        <w:spacing w:after="80"/>
      </w:pPr>
      <w:r>
        <w:t xml:space="preserve">Un mot de passe provisoire pour ce premier compte (à lui faire changer dès sa première connexion — pas de fonction “mot de passe oublié” pour l’instant, voir l’aide-mémoire support).</w:t>
      </w:r>
    </w:p>
    <w:p>
      <w:pPr>
        <w:pStyle w:val="ListParagraph"/>
        <w:numPr>
          <w:ilvl w:val="0"/>
          <w:numId w:val="2"/>
        </w:numPr>
        <w:spacing w:after="80"/>
      </w:pPr>
      <w:r>
        <w:t xml:space="preserve">Ses secteurs d’activité (avicole, piscicole, maraîcher, ou autre) — au moins un, pour qu’il puisse commencer à saisir des données de production.</w:t>
      </w:r>
    </w:p>
    <w:p>
      <w:pPr>
        <w:pStyle w:val="Heading1"/>
        <w:spacing w:after="150" w:before="320"/>
      </w:pPr>
      <w:r>
        <w:t xml:space="preserve">Étape 1 — Se connecter à la base de données</w:t>
      </w:r>
    </w:p>
    <w:p>
      <w:pPr>
        <w:spacing w:after="120"/>
      </w:pPr>
      <w:r>
        <w:t xml:space="preserve">Ouvrir le projet Supabase du projet (SQL Editor) avec les identifiants habituels. Toutes les commandes ci-dessous s’exécutent depuis cet éditeur SQL.</w:t>
      </w:r>
    </w:p>
    <w:p>
      <w:pPr>
        <w:pStyle w:val="Heading1"/>
        <w:spacing w:after="150" w:before="320"/>
      </w:pPr>
      <w:r>
        <w:t xml:space="preserve">Étape 2 — Créer l’organisation</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nsolas" w:cs="Consolas" w:eastAsia="Consolas" w:hAnsi="Consolas"/>
          <w:sz w:val="18"/>
          <w:szCs w:val="18"/>
        </w:rPr>
        <w:t xml:space="preserve">INSERT INTO organisations (nom) VALUES ('Nom de la Ferme')</w:t>
      </w:r>
      <w:r>
        <w:br/>
        <w:t xml:space="preserve"/>
      </w:r>
      <w:r>
        <w:rPr>
          <w:rFonts w:ascii="Consolas" w:cs="Consolas" w:eastAsia="Consolas" w:hAnsi="Consolas"/>
          <w:sz w:val="18"/>
          <w:szCs w:val="18"/>
        </w:rPr>
        <w:t xml:space="preserve">RETURNING id;</w:t>
      </w:r>
    </w:p>
    <w:p>
      <w:pPr>
        <w:spacing w:after="120"/>
      </w:pPr>
      <w:r>
        <w:t xml:space="preserve">Noter l’identifiant (id) renvoyé — il sera réutilisé dans les étapes suivantes. Dans les exemples ci-dessous, on suppose qu’il vaut 2.</w:t>
      </w:r>
    </w:p>
    <w:p>
      <w:pPr>
        <w:pStyle w:val="Heading1"/>
        <w:spacing w:after="150" w:before="320"/>
      </w:pPr>
      <w:r>
        <w:t xml:space="preserve">Étape 3 — Créer ses secteurs d’activité</w:t>
      </w:r>
    </w:p>
    <w:p>
      <w:pPr>
        <w:spacing w:after="120"/>
      </w:pPr>
      <w:r>
        <w:t xml:space="preserve">Un secteur correspond à un pôle de production (Avicole, Piscicole, Maraîcher, ou un nom libre choisi par le client). Le champ suivi_recolte doit être à TRUE uniquement pour un secteur dont on veut suivre une date de récolte prévue (typiquement les cultures) — il fait apparaître ce secteur dans les alertes “récolte proche” du tableau de bord.</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nsolas" w:cs="Consolas" w:eastAsia="Consolas" w:hAnsi="Consolas"/>
          <w:sz w:val="18"/>
          <w:szCs w:val="18"/>
        </w:rPr>
        <w:t xml:space="preserve">INSERT INTO secteurs (tenant_id, nom, suivi_recolte) VALUES</w:t>
      </w:r>
      <w:r>
        <w:br/>
        <w:t xml:space="preserve"/>
      </w:r>
      <w:r>
        <w:rPr>
          <w:rFonts w:ascii="Consolas" w:cs="Consolas" w:eastAsia="Consolas" w:hAnsi="Consolas"/>
          <w:sz w:val="18"/>
          <w:szCs w:val="18"/>
        </w:rPr>
        <w:t xml:space="preserve">  (2, 'Avicole', FALSE),</w:t>
      </w:r>
      <w:r>
        <w:br/>
        <w:t xml:space="preserve"/>
      </w:r>
      <w:r>
        <w:rPr>
          <w:rFonts w:ascii="Consolas" w:cs="Consolas" w:eastAsia="Consolas" w:hAnsi="Consolas"/>
          <w:sz w:val="18"/>
          <w:szCs w:val="18"/>
        </w:rPr>
        <w:t xml:space="preserve">  (2, 'Maraîcher', TRUE);</w:t>
      </w:r>
    </w:p>
    <w:p>
      <w:pPr>
        <w:pStyle w:val="Heading1"/>
        <w:spacing w:after="150" w:before="320"/>
      </w:pPr>
      <w:r>
        <w:t xml:space="preserve">Étape 4 — Créer le premier compte administrateur</w:t>
      </w:r>
    </w:p>
    <w:p>
      <w:pPr>
        <w:spacing w:after="120"/>
      </w:pPr>
      <w:r>
        <w:t xml:space="preserve">Le mot de passe ne doit jamais être écrit en clair dans la base — il faut d’abord le transformer en hash bcrypt. Depuis un terminal (sur votre poste, avec Node.js installé), dans le dossier server/ du projet :</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nsolas" w:cs="Consolas" w:eastAsia="Consolas" w:hAnsi="Consolas"/>
          <w:sz w:val="18"/>
          <w:szCs w:val="18"/>
        </w:rPr>
        <w:t xml:space="preserve">node -e "require('bcryptjs').hash('MotDePasseProvisoire123', 10).then(console.log)"</w:t>
      </w:r>
    </w:p>
    <w:p>
      <w:pPr>
        <w:spacing w:after="120"/>
      </w:pPr>
      <w:r>
        <w:t xml:space="preserve">Cette commande affiche une chaîne du type $2a$10$... — c’est le hash à utiliser ci-dessous (jamais le mot de passe en clair).</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nsolas" w:cs="Consolas" w:eastAsia="Consolas" w:hAnsi="Consolas"/>
          <w:sz w:val="18"/>
          <w:szCs w:val="18"/>
        </w:rPr>
        <w:t xml:space="preserve">INSERT INTO utilisateurs (tenant_id, nom_complet, email, mot_de_passe_hash, role_id, actif)</w:t>
      </w:r>
      <w:r>
        <w:br/>
        <w:t xml:space="preserve"/>
      </w:r>
      <w:r>
        <w:rPr>
          <w:rFonts w:ascii="Consolas" w:cs="Consolas" w:eastAsia="Consolas" w:hAnsi="Consolas"/>
          <w:sz w:val="18"/>
          <w:szCs w:val="18"/>
        </w:rPr>
        <w:t xml:space="preserve">VALUES (</w:t>
      </w:r>
      <w:r>
        <w:br/>
        <w:t xml:space="preserve"/>
      </w:r>
      <w:r>
        <w:rPr>
          <w:rFonts w:ascii="Consolas" w:cs="Consolas" w:eastAsia="Consolas" w:hAnsi="Consolas"/>
          <w:sz w:val="18"/>
          <w:szCs w:val="18"/>
        </w:rPr>
        <w:t xml:space="preserve">  2,</w:t>
      </w:r>
      <w:r>
        <w:br/>
        <w:t xml:space="preserve"/>
      </w:r>
      <w:r>
        <w:rPr>
          <w:rFonts w:ascii="Consolas" w:cs="Consolas" w:eastAsia="Consolas" w:hAnsi="Consolas"/>
          <w:sz w:val="18"/>
          <w:szCs w:val="18"/>
        </w:rPr>
        <w:t xml:space="preserve">  'Nom du client',</w:t>
      </w:r>
      <w:r>
        <w:br/>
        <w:t xml:space="preserve"/>
      </w:r>
      <w:r>
        <w:rPr>
          <w:rFonts w:ascii="Consolas" w:cs="Consolas" w:eastAsia="Consolas" w:hAnsi="Consolas"/>
          <w:sz w:val="18"/>
          <w:szCs w:val="18"/>
        </w:rPr>
        <w:t xml:space="preserve">  'email@duclient.sn',</w:t>
      </w:r>
      <w:r>
        <w:br/>
        <w:t xml:space="preserve"/>
      </w:r>
      <w:r>
        <w:rPr>
          <w:rFonts w:ascii="Consolas" w:cs="Consolas" w:eastAsia="Consolas" w:hAnsi="Consolas"/>
          <w:sz w:val="18"/>
          <w:szCs w:val="18"/>
        </w:rPr>
        <w:t xml:space="preserve">  '&lt;coller le hash bcrypt ici&gt;',</w:t>
      </w:r>
      <w:r>
        <w:br/>
        <w:t xml:space="preserve"/>
      </w:r>
      <w:r>
        <w:rPr>
          <w:rFonts w:ascii="Consolas" w:cs="Consolas" w:eastAsia="Consolas" w:hAnsi="Consolas"/>
          <w:sz w:val="18"/>
          <w:szCs w:val="18"/>
        </w:rPr>
        <w:t xml:space="preserve">  (SELECT id FROM roles WHERE nom = 'admin'),</w:t>
      </w:r>
      <w:r>
        <w:br/>
        <w:t xml:space="preserve"/>
      </w:r>
      <w:r>
        <w:rPr>
          <w:rFonts w:ascii="Consolas" w:cs="Consolas" w:eastAsia="Consolas" w:hAnsi="Consolas"/>
          <w:sz w:val="18"/>
          <w:szCs w:val="18"/>
        </w:rPr>
        <w:t xml:space="preserve">  TRUE</w:t>
      </w:r>
      <w:r>
        <w:br/>
        <w:t xml:space="preserve"/>
      </w:r>
      <w:r>
        <w:rPr>
          <w:rFonts w:ascii="Consolas" w:cs="Consolas" w:eastAsia="Consolas" w:hAnsi="Consolas"/>
          <w:sz w:val="18"/>
          <w:szCs w:val="18"/>
        </w:rPr>
        <w:t xml:space="preserve">);</w:t>
      </w:r>
    </w:p>
    <w:p>
      <w:pPr>
        <w:pStyle w:val="Heading1"/>
        <w:spacing w:after="150" w:before="320"/>
      </w:pPr>
      <w:r>
        <w:t xml:space="preserve">Étape 5 — Transmettre les accès</w:t>
      </w:r>
    </w:p>
    <w:p>
      <w:pPr>
        <w:spacing w:after="120"/>
      </w:pPr>
      <w:r>
        <w:t xml:space="preserve">Communiquer au client, par un canal sécurisé (jamais par SMS/WhatsApp en clair si possible) :</w:t>
      </w:r>
    </w:p>
    <w:p>
      <w:pPr>
        <w:pStyle w:val="ListParagraph"/>
        <w:numPr>
          <w:ilvl w:val="0"/>
          <w:numId w:val="2"/>
        </w:numPr>
        <w:spacing w:after="80"/>
      </w:pPr>
      <w:r>
        <w:t xml:space="preserve">L’adresse de l’application : https://massla.sn</w:t>
      </w:r>
    </w:p>
    <w:p>
      <w:pPr>
        <w:pStyle w:val="ListParagraph"/>
        <w:numPr>
          <w:ilvl w:val="0"/>
          <w:numId w:val="2"/>
        </w:numPr>
        <w:spacing w:after="80"/>
      </w:pPr>
      <w:r>
        <w:t xml:space="preserve">Son adresse email et le mot de passe provisoire.</w:t>
      </w:r>
    </w:p>
    <w:p>
      <w:pPr>
        <w:spacing w:after="120"/>
      </w:pPr>
      <w:r>
        <w:t xml:space="preserve">Lui demander de changer son mot de passe dès la première connexion (module Utilisateurs, ou vous le faites pour lui — voir l’aide-mémoire support).</w:t>
      </w:r>
    </w:p>
    <w:p>
      <w:pPr>
        <w:pStyle w:val="Heading1"/>
        <w:spacing w:after="150" w:before="320"/>
      </w:pPr>
      <w:r>
        <w:t xml:space="preserve">Ce que le client configure lui-même ensuite</w:t>
      </w:r>
    </w:p>
    <w:p>
      <w:pPr>
        <w:spacing w:after="120"/>
      </w:pPr>
      <w:r>
        <w:t xml:space="preserve">Une fois connecté, le client n’a plus besoin de vous pour :</w:t>
      </w:r>
    </w:p>
    <w:p>
      <w:pPr>
        <w:pStyle w:val="ListParagraph"/>
        <w:numPr>
          <w:ilvl w:val="0"/>
          <w:numId w:val="2"/>
        </w:numPr>
        <w:spacing w:after="80"/>
      </w:pPr>
      <w:r>
        <w:t xml:space="preserve">Créer ses produits et son catalogue (Catalogue &amp; Stock).</w:t>
      </w:r>
    </w:p>
    <w:p>
      <w:pPr>
        <w:pStyle w:val="ListParagraph"/>
        <w:numPr>
          <w:ilvl w:val="0"/>
          <w:numId w:val="2"/>
        </w:numPr>
        <w:spacing w:after="80"/>
      </w:pPr>
      <w:r>
        <w:t xml:space="preserve">Ajouter ses clients, fournisseurs, et son équipe (comptable, chef de production, livreurs).</w:t>
      </w:r>
    </w:p>
    <w:p>
      <w:pPr>
        <w:pStyle w:val="ListParagraph"/>
        <w:numPr>
          <w:ilvl w:val="0"/>
          <w:numId w:val="2"/>
        </w:numPr>
        <w:spacing w:after="80"/>
      </w:pPr>
      <w:r>
        <w:t xml:space="preserve">Configurer ses propres identifiants PayDunya, depuis l’onglet “Paiements (réglages)” — ses paiements Mobile Money ne fonctionneront qu’une fois cette étape faite par lui.</w:t>
      </w:r>
    </w:p>
    <w:p>
      <w:pPr>
        <w:pStyle w:val="Heading1"/>
        <w:spacing w:after="150" w:before="320"/>
      </w:pPr>
      <w:r>
        <w:t xml:space="preserve">Checklist de vérification</w:t>
      </w:r>
    </w:p>
    <w:p>
      <w:pPr>
        <w:pStyle w:val="ListParagraph"/>
        <w:numPr>
          <w:ilvl w:val="0"/>
          <w:numId w:val="3"/>
        </w:numPr>
        <w:spacing w:after="80"/>
      </w:pPr>
      <w:r>
        <w:t xml:space="preserve">Le client arrive à se connecter avec son compte.</w:t>
      </w:r>
    </w:p>
    <w:p>
      <w:pPr>
        <w:pStyle w:val="ListParagraph"/>
        <w:numPr>
          <w:ilvl w:val="0"/>
          <w:numId w:val="3"/>
        </w:numPr>
        <w:spacing w:after="80"/>
      </w:pPr>
      <w:r>
        <w:t xml:space="preserve">Le tableau de bord s’affiche sans erreur.</w:t>
      </w:r>
    </w:p>
    <w:p>
      <w:pPr>
        <w:pStyle w:val="ListParagraph"/>
        <w:numPr>
          <w:ilvl w:val="0"/>
          <w:numId w:val="3"/>
        </w:numPr>
        <w:spacing w:after="80"/>
      </w:pPr>
      <w:r>
        <w:t xml:space="preserve">Le(s) secteur(s) créé(s) apparaissent bien dans le module Production.</w:t>
      </w:r>
    </w:p>
    <w:p>
      <w:pPr>
        <w:pStyle w:val="ListParagraph"/>
        <w:numPr>
          <w:ilvl w:val="0"/>
          <w:numId w:val="3"/>
        </w:numPr>
        <w:spacing w:after="80"/>
      </w:pPr>
      <w:r>
        <w:t xml:space="preserve">Le client a pu créer un produit test dans son catalogue.</w:t>
      </w:r>
    </w:p>
    <w:p>
      <w:pPr>
        <w:pStyle w:val="ListParagraph"/>
        <w:numPr>
          <w:ilvl w:val="0"/>
          <w:numId w:val="3"/>
        </w:numPr>
        <w:spacing w:after="80"/>
      </w:pPr>
      <w:r>
        <w:t xml:space="preserve">Une fois ses clés PayDunya saisies, l’onglet “Paiements (réglages)” affiche bien “Configuré”.</w:t>
      </w:r>
    </w:p>
    <w:p>
      <w:pPr>
        <w:pBdr>
          <w:top w:val="single" w:color="E8A33D" w:sz="4" w:space="6"/>
          <w:bottom w:val="single" w:color="E8A33D" w:sz="4" w:space="6"/>
          <w:left w:val="single" w:color="E8A33D" w:sz="4" w:space="6"/>
          <w:right w:val="single" w:color="E8A33D" w:sz="4" w:space="6"/>
        </w:pBdr>
        <w:shd w:fill="FFF4E5" w:val="clear"/>
        <w:spacing w:after="200" w:before="150"/>
      </w:pPr>
      <w:r>
        <w:rPr>
          <w:b/>
          <w:bCs/>
          <w:sz w:val="20"/>
          <w:szCs w:val="20"/>
        </w:rPr>
        <w:t xml:space="preserve">⚠ Limite connue à anticiper avec le client</w:t>
      </w:r>
      <w:r>
        <w:br/>
        <w:t xml:space="preserve"/>
      </w:r>
      <w:r>
        <w:rPr>
          <w:sz w:val="20"/>
          <w:szCs w:val="20"/>
        </w:rPr>
        <w:t xml:space="preserve">Toutes les fermes utilisent actuellement la même adresse et le même habillage visuel (nom “Ferme Massla” affiché en haut de l’écran, quel que soit le client réellement connecté) — seules les données sont isolées, pas encore l’image de marque. À prévoir si un client s’attend à voir le nom de SA ferme affiché : c’est une évolution à faire, pas encore livrée.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2026-08-08T00:50:18.164Z</dcterms:created>
  <dcterms:modified xsi:type="dcterms:W3CDTF">2026-08-08T00:50:18.165Z</dcterms:modified>
</cp:coreProperties>
</file>

<file path=docProps/custom.xml><?xml version="1.0" encoding="utf-8"?>
<Properties xmlns="http://schemas.openxmlformats.org/officeDocument/2006/custom-properties" xmlns:vt="http://schemas.openxmlformats.org/officeDocument/2006/docPropsVTypes"/>
</file>