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aps/>
          <w:color w:val="2F7D5C"/>
          <w:sz w:val="20"/>
          <w:szCs w:val="20"/>
        </w:rPr>
        <w:t xml:space="preserve">ERP MASSLA</w:t>
      </w:r>
    </w:p>
    <w:p>
      <w:pPr>
        <w:spacing w:after="40"/>
        <w:jc w:val="center"/>
      </w:pPr>
      <w:r>
        <w:rPr>
          <w:b/>
          <w:bCs/>
          <w:color w:val="17202B"/>
          <w:sz w:val="36"/>
          <w:szCs w:val="36"/>
        </w:rPr>
        <w:t xml:space="preserve">CONDITIONS GÉNÉRALES D'UTILISATION ET D'ABONNEMENT</w:t>
      </w:r>
    </w:p>
    <w:p>
      <w:pPr>
        <w:spacing w:after="300"/>
        <w:jc w:val="center"/>
      </w:pPr>
      <w:r>
        <w:rPr>
          <w:i/>
          <w:iCs/>
          <w:color w:val="55636F"/>
          <w:sz w:val="18"/>
          <w:szCs w:val="18"/>
        </w:rPr>
        <w:t xml:space="preserve">Version 1.0 — projet de document, à faire valider par un juriste avant mise en ligne</w:t>
      </w:r>
    </w:p>
    <w:p>
      <w:pPr>
        <w:pBdr>
          <w:left w:val="single" w:color="A8650A" w:sz="18" w:space="8"/>
        </w:pBdr>
        <w:shd w:fill="F4E3CA" w:val="clear"/>
        <w:spacing w:after="200" w:before="100"/>
        <w:ind w:left="120"/>
      </w:pPr>
      <w:r>
        <w:rPr>
          <w:i/>
          <w:iCs/>
          <w:color w:val="7A4A08"/>
          <w:sz w:val="19"/>
          <w:szCs w:val="19"/>
        </w:rPr>
        <w:t xml:space="preserve">⚠ À COMPLÉTER / VALIDER : Ce document est un PREMIER JET rédigé pour couvrir les points essentiels d'un SaaS B2B (notamment la clause de propriété intellectuelle / anti-copie). Ce n'est PAS un conseil juridique — faites-le valider par un avocat sénégalais (droit OHADA, loi sur la protection des données n°2008-12) avant de le publier ou de le faire accepter à un client. Les montants, préavis et délais marqués [À DÉFINIR] sont des choix commerciaux qui vous appartiennent.</w:t>
      </w:r>
    </w:p>
    <w:p>
      <w:pPr>
        <w:pStyle w:val="Heading1"/>
        <w:spacing w:after="160" w:before="360"/>
      </w:pPr>
      <w:r>
        <w:rPr>
          <w:b/>
          <w:bCs/>
          <w:color w:val="17202B"/>
          <w:sz w:val="26"/>
          <w:szCs w:val="26"/>
        </w:rPr>
        <w:t xml:space="preserve">Préambule</w:t>
      </w:r>
    </w:p>
    <w:p>
      <w:pPr>
        <w:spacing w:after="140" w:line="300"/>
      </w:pPr>
      <w:r>
        <w:rPr>
          <w:color w:val="17202B"/>
          <w:sz w:val="21"/>
          <w:szCs w:val="21"/>
        </w:rPr>
        <w:t xml:space="preserve">Les présentes Conditions Générales d'Utilisation et d'Abonnement (ci-après les « CGU ») régissent l'accès et l'utilisation du service en ligne ERP Massla (ci-après le « Service »), accessible à l'adresse massla.sn et ses sous-domaines, édité par :</w:t>
      </w:r>
    </w:p>
    <w:p>
      <w:pPr>
        <w:spacing w:after="140" w:line="300"/>
      </w:pPr>
      <w:r>
        <w:rPr>
          <w:b/>
          <w:bCs/>
          <w:sz w:val="21"/>
          <w:szCs w:val="21"/>
        </w:rPr>
        <w:t xml:space="preserve">FAYSSALAME</w:t>
      </w:r>
      <w:r>
        <w:rPr>
          <w:sz w:val="21"/>
          <w:szCs w:val="21"/>
        </w:rPr>
        <w:t xml:space="preserve">, dont le siège est situé Cité Castors Marine III, Villa 48, Dakar, Sénégal, immatriculée sous l'identifiant fiscal SN-DKR-2025 B 13520 (ci-après l'« Éditeur »).</w:t>
      </w:r>
    </w:p>
    <w:p>
      <w:pPr>
        <w:spacing w:after="140" w:line="300"/>
      </w:pPr>
      <w:r>
        <w:rPr>
          <w:color w:val="17202B"/>
          <w:sz w:val="21"/>
          <w:szCs w:val="21"/>
        </w:rPr>
        <w:t xml:space="preserve">Toute création de compte, tout accès ou toute utilisation du Service implique l'acceptation pleine et entière, sans réserve, des présentes CGU par la personne physique ou morale souscrivant au Service (ci-après le « Client »).</w:t>
      </w:r>
    </w:p>
    <w:p>
      <w:pPr>
        <w:pStyle w:val="Heading1"/>
        <w:spacing w:after="160" w:before="360"/>
      </w:pPr>
      <w:r>
        <w:rPr>
          <w:b/>
          <w:bCs/>
          <w:color w:val="17202B"/>
          <w:sz w:val="26"/>
          <w:szCs w:val="26"/>
        </w:rPr>
        <w:t xml:space="preserve">Article 1 — Définitions</w:t>
      </w:r>
    </w:p>
    <w:p>
      <w:pPr>
        <w:pStyle w:val="ListParagraph"/>
        <w:numPr>
          <w:ilvl w:val="0"/>
          <w:numId w:val="1"/>
        </w:numPr>
        <w:spacing w:after="80" w:line="300"/>
      </w:pPr>
      <w:r>
        <w:rPr>
          <w:color w:val="17202B"/>
          <w:sz w:val="21"/>
          <w:szCs w:val="21"/>
        </w:rPr>
        <w:t xml:space="preserve">« Service » : le logiciel de gestion agricole ERP Massla, fourni en mode SaaS (Software as a Service), incluant l'ensemble de ses modules (production, catalogue et stock, clients, commandes, logistique, finance, comptabilité, immobilisations, paie, fournisseurs, support client, portail client, notifications WhatsApp) et leurs évolutions.</w:t>
      </w:r>
    </w:p>
    <w:p>
      <w:pPr>
        <w:pStyle w:val="ListParagraph"/>
        <w:numPr>
          <w:ilvl w:val="0"/>
          <w:numId w:val="1"/>
        </w:numPr>
        <w:spacing w:after="80" w:line="300"/>
      </w:pPr>
      <w:r>
        <w:rPr>
          <w:color w:val="17202B"/>
          <w:sz w:val="21"/>
          <w:szCs w:val="21"/>
        </w:rPr>
        <w:t xml:space="preserve">« Client » : toute personne physique ou morale ayant souscrit un abonnement au Service pour les besoins de sa propre exploitation (ferme avicole, piscicole, maraîchère ou autre).</w:t>
      </w:r>
    </w:p>
    <w:p>
      <w:pPr>
        <w:pStyle w:val="ListParagraph"/>
        <w:numPr>
          <w:ilvl w:val="0"/>
          <w:numId w:val="1"/>
        </w:numPr>
        <w:spacing w:after="80" w:line="300"/>
      </w:pPr>
      <w:r>
        <w:rPr>
          <w:color w:val="17202B"/>
          <w:sz w:val="21"/>
          <w:szCs w:val="21"/>
        </w:rPr>
        <w:t xml:space="preserve">« Utilisateur » : toute personne physique autorisée par le Client à accéder au Service pour son compte (salarié, gérant, comptable, livreur, etc.), sous un rôle défini par le Client.</w:t>
      </w:r>
    </w:p>
    <w:p>
      <w:pPr>
        <w:pStyle w:val="ListParagraph"/>
        <w:numPr>
          <w:ilvl w:val="0"/>
          <w:numId w:val="1"/>
        </w:numPr>
        <w:spacing w:after="80" w:line="300"/>
      </w:pPr>
      <w:r>
        <w:rPr>
          <w:color w:val="17202B"/>
          <w:sz w:val="21"/>
          <w:szCs w:val="21"/>
        </w:rPr>
        <w:t xml:space="preserve">« Client final » : toute personne physique ou morale cliente du Client, dont les données (nom, coordonnées, historique d'achats) peuvent être enregistrées dans le Service par le Client.</w:t>
      </w:r>
    </w:p>
    <w:p>
      <w:pPr>
        <w:pStyle w:val="ListParagraph"/>
        <w:numPr>
          <w:ilvl w:val="0"/>
          <w:numId w:val="1"/>
        </w:numPr>
        <w:spacing w:after="80" w:line="300"/>
      </w:pPr>
      <w:r>
        <w:rPr>
          <w:color w:val="17202B"/>
          <w:sz w:val="21"/>
          <w:szCs w:val="21"/>
        </w:rPr>
        <w:t xml:space="preserve">« Compte » : l'espace nominatif et sécurisé permettant au Client et à ses Utilisateurs d'accéder au Service.</w:t>
      </w:r>
    </w:p>
    <w:p>
      <w:pPr>
        <w:pStyle w:val="ListParagraph"/>
        <w:numPr>
          <w:ilvl w:val="0"/>
          <w:numId w:val="1"/>
        </w:numPr>
        <w:spacing w:after="80" w:line="300"/>
      </w:pPr>
      <w:r>
        <w:rPr>
          <w:color w:val="17202B"/>
          <w:sz w:val="21"/>
          <w:szCs w:val="21"/>
        </w:rPr>
        <w:t xml:space="preserve">« Portail client » : l'interface distincte du Service permettant aux Clients finaux de consulter leurs propres informations (commandes, factures, code d'accès).</w:t>
      </w:r>
    </w:p>
    <w:p>
      <w:pPr>
        <w:pStyle w:val="ListParagraph"/>
        <w:numPr>
          <w:ilvl w:val="0"/>
          <w:numId w:val="1"/>
        </w:numPr>
        <w:spacing w:after="80" w:line="300"/>
      </w:pPr>
      <w:r>
        <w:rPr>
          <w:color w:val="17202B"/>
          <w:sz w:val="21"/>
          <w:szCs w:val="21"/>
        </w:rPr>
        <w:t xml:space="preserve">« Données » : l'ensemble des données saisies, importées ou générées par le Client et ses Utilisateurs dans le cadre de l'utilisation du Service.</w:t>
      </w:r>
    </w:p>
    <w:p>
      <w:pPr>
        <w:pStyle w:val="Heading1"/>
        <w:spacing w:after="160" w:before="360"/>
      </w:pPr>
      <w:r>
        <w:rPr>
          <w:b/>
          <w:bCs/>
          <w:color w:val="17202B"/>
          <w:sz w:val="26"/>
          <w:szCs w:val="26"/>
        </w:rPr>
        <w:t xml:space="preserve">Article 2 — Objet</w:t>
      </w:r>
    </w:p>
    <w:p>
      <w:pPr>
        <w:spacing w:after="140" w:line="300"/>
      </w:pPr>
      <w:r>
        <w:rPr>
          <w:color w:val="17202B"/>
          <w:sz w:val="21"/>
          <w:szCs w:val="21"/>
        </w:rPr>
        <w:t xml:space="preserve">Les présentes CGU ont pour objet de définir les conditions et modalités selon lesquelles l'Éditeur met le Service à disposition du Client, ainsi que les droits et obligations réciproques des parties dans ce cadre.</w:t>
      </w:r>
    </w:p>
    <w:p>
      <w:pPr>
        <w:pStyle w:val="Heading1"/>
        <w:spacing w:after="160" w:before="360"/>
      </w:pPr>
      <w:r>
        <w:rPr>
          <w:b/>
          <w:bCs/>
          <w:color w:val="17202B"/>
          <w:sz w:val="26"/>
          <w:szCs w:val="26"/>
        </w:rPr>
        <w:t xml:space="preserve">Article 3 — Description du Service</w:t>
      </w:r>
    </w:p>
    <w:p>
      <w:pPr>
        <w:spacing w:after="140" w:line="300"/>
      </w:pPr>
      <w:r>
        <w:rPr>
          <w:color w:val="17202B"/>
          <w:sz w:val="21"/>
          <w:szCs w:val="21"/>
        </w:rPr>
        <w:t xml:space="preserve">Le Service est un outil de gestion en ligne destiné aux exploitations agricoles (secteurs avicole, piscicole, maraîcher et autres), permettant notamment :</w:t>
      </w:r>
    </w:p>
    <w:p>
      <w:pPr>
        <w:pStyle w:val="ListParagraph"/>
        <w:numPr>
          <w:ilvl w:val="0"/>
          <w:numId w:val="1"/>
        </w:numPr>
        <w:spacing w:after="80" w:line="300"/>
      </w:pPr>
      <w:r>
        <w:rPr>
          <w:color w:val="17202B"/>
          <w:sz w:val="21"/>
          <w:szCs w:val="21"/>
        </w:rPr>
        <w:t xml:space="preserve">le suivi de la production (lots, récoltes, mortalité, croissance) ;</w:t>
      </w:r>
    </w:p>
    <w:p>
      <w:pPr>
        <w:pStyle w:val="ListParagraph"/>
        <w:numPr>
          <w:ilvl w:val="0"/>
          <w:numId w:val="1"/>
        </w:numPr>
        <w:spacing w:after="80" w:line="300"/>
      </w:pPr>
      <w:r>
        <w:rPr>
          <w:color w:val="17202B"/>
          <w:sz w:val="21"/>
          <w:szCs w:val="21"/>
        </w:rPr>
        <w:t xml:space="preserve">la gestion du catalogue, des stocks et des commandes clients (B2B/B2C) ;</w:t>
      </w:r>
    </w:p>
    <w:p>
      <w:pPr>
        <w:pStyle w:val="ListParagraph"/>
        <w:numPr>
          <w:ilvl w:val="0"/>
          <w:numId w:val="1"/>
        </w:numPr>
        <w:spacing w:after="80" w:line="300"/>
      </w:pPr>
      <w:r>
        <w:rPr>
          <w:color w:val="17202B"/>
          <w:sz w:val="21"/>
          <w:szCs w:val="21"/>
        </w:rPr>
        <w:t xml:space="preserve">la gestion de la logistique et des livraisons ;</w:t>
      </w:r>
    </w:p>
    <w:p>
      <w:pPr>
        <w:pStyle w:val="ListParagraph"/>
        <w:numPr>
          <w:ilvl w:val="0"/>
          <w:numId w:val="1"/>
        </w:numPr>
        <w:spacing w:after="80" w:line="300"/>
      </w:pPr>
      <w:r>
        <w:rPr>
          <w:color w:val="17202B"/>
          <w:sz w:val="21"/>
          <w:szCs w:val="21"/>
        </w:rPr>
        <w:t xml:space="preserve">l'encaissement des Clients finaux par Mobile Money (Wave, Orange Money) via un prestataire de paiement tiers ;</w:t>
      </w:r>
    </w:p>
    <w:p>
      <w:pPr>
        <w:pStyle w:val="ListParagraph"/>
        <w:numPr>
          <w:ilvl w:val="0"/>
          <w:numId w:val="1"/>
        </w:numPr>
        <w:spacing w:after="80" w:line="300"/>
      </w:pPr>
      <w:r>
        <w:rPr>
          <w:color w:val="17202B"/>
          <w:sz w:val="21"/>
          <w:szCs w:val="21"/>
        </w:rPr>
        <w:t xml:space="preserve">la comptabilité analytique, la gestion des immobilisations et l'amortissement du matériel, et la paie ;</w:t>
      </w:r>
    </w:p>
    <w:p>
      <w:pPr>
        <w:pStyle w:val="ListParagraph"/>
        <w:numPr>
          <w:ilvl w:val="0"/>
          <w:numId w:val="1"/>
        </w:numPr>
        <w:spacing w:after="80" w:line="300"/>
      </w:pPr>
      <w:r>
        <w:rPr>
          <w:color w:val="17202B"/>
          <w:sz w:val="21"/>
          <w:szCs w:val="21"/>
        </w:rPr>
        <w:t xml:space="preserve">la gestion des fournisseurs et des achats ;</w:t>
      </w:r>
    </w:p>
    <w:p>
      <w:pPr>
        <w:pStyle w:val="ListParagraph"/>
        <w:numPr>
          <w:ilvl w:val="0"/>
          <w:numId w:val="1"/>
        </w:numPr>
        <w:spacing w:after="80" w:line="300"/>
      </w:pPr>
      <w:r>
        <w:rPr>
          <w:color w:val="17202B"/>
          <w:sz w:val="21"/>
          <w:szCs w:val="21"/>
        </w:rPr>
        <w:t xml:space="preserve">l'envoi de rappels automatisés par WhatsApp aux Clients finaux ;</w:t>
      </w:r>
    </w:p>
    <w:p>
      <w:pPr>
        <w:pStyle w:val="ListParagraph"/>
        <w:numPr>
          <w:ilvl w:val="0"/>
          <w:numId w:val="1"/>
        </w:numPr>
        <w:spacing w:after="80" w:line="300"/>
      </w:pPr>
      <w:r>
        <w:rPr>
          <w:color w:val="17202B"/>
          <w:sz w:val="21"/>
          <w:szCs w:val="21"/>
        </w:rPr>
        <w:t xml:space="preserve">un portail dédié permettant aux Clients finaux de consulter leurs informations ;</w:t>
      </w:r>
    </w:p>
    <w:p>
      <w:pPr>
        <w:pStyle w:val="ListParagraph"/>
        <w:numPr>
          <w:ilvl w:val="0"/>
          <w:numId w:val="1"/>
        </w:numPr>
        <w:spacing w:after="80" w:line="300"/>
      </w:pPr>
      <w:r>
        <w:rPr>
          <w:color w:val="17202B"/>
          <w:sz w:val="21"/>
          <w:szCs w:val="21"/>
        </w:rPr>
        <w:t xml:space="preserve">une utilisation partiellement disponible hors connexion internet (mode déconnecté), avec synchronisation automatique au retour du réseau.</w:t>
      </w:r>
    </w:p>
    <w:p>
      <w:pPr>
        <w:spacing w:after="140" w:line="300"/>
      </w:pPr>
      <w:r>
        <w:rPr>
          <w:color w:val="17202B"/>
          <w:sz w:val="21"/>
          <w:szCs w:val="21"/>
        </w:rPr>
        <w:t xml:space="preserve">Le Service est fourni « en l'état » et peut faire l'objet d'évolutions, d'ajouts ou de retraits de fonctionnalités, notamment pour l'améliorer ou se conformer à la réglementation en vigueur, sans que cela ne constitue une modification substantielle des présentes CGU.</w:t>
      </w:r>
    </w:p>
    <w:p>
      <w:pPr>
        <w:pStyle w:val="Heading1"/>
        <w:spacing w:after="160" w:before="360"/>
      </w:pPr>
      <w:r>
        <w:rPr>
          <w:b/>
          <w:bCs/>
          <w:color w:val="17202B"/>
          <w:sz w:val="26"/>
          <w:szCs w:val="26"/>
        </w:rPr>
        <w:t xml:space="preserve">Article 4 — Inscription et accès au Service</w:t>
      </w:r>
    </w:p>
    <w:p>
      <w:pPr>
        <w:spacing w:after="140" w:line="300"/>
      </w:pPr>
      <w:r>
        <w:rPr>
          <w:color w:val="17202B"/>
          <w:sz w:val="21"/>
          <w:szCs w:val="21"/>
        </w:rPr>
        <w:t xml:space="preserve">L'accès au Service nécessite la création d'un compte administrateur par le Client, via le formulaire d'inscription en ligne. Le Client s'engage à fournir des informations exactes, complètes et à jour, et à les maintenir à jour pendant toute la durée de l'abonnement.</w:t>
      </w:r>
    </w:p>
    <w:p>
      <w:pPr>
        <w:spacing w:after="140" w:line="300"/>
      </w:pPr>
      <w:r>
        <w:rPr>
          <w:color w:val="17202B"/>
          <w:sz w:val="21"/>
          <w:szCs w:val="21"/>
        </w:rPr>
        <w:t xml:space="preserve">Le Client est seul responsable de la création, de la gestion et de la désactivation des Comptes Utilisateurs de son organisation, ainsi que de l'attribution des rôles et permissions associés. Le Client s'engage à préserver la confidentialité des identifiants de connexion de ses Utilisateurs et à informer sans délai l'Éditeur de toute utilisation non autorisée d'un Compte dont il aurait connaissance.</w:t>
      </w:r>
    </w:p>
    <w:p>
      <w:pPr>
        <w:spacing w:after="140" w:line="300"/>
      </w:pPr>
      <w:r>
        <w:rPr>
          <w:color w:val="17202B"/>
          <w:sz w:val="21"/>
          <w:szCs w:val="21"/>
        </w:rPr>
        <w:t xml:space="preserve">L'Éditeur se réserve le droit de suspendre ou de refuser la création d'un Compte en cas de fourniture d'informations manifestement fausses ou en cas de fraude avérée.</w:t>
      </w:r>
    </w:p>
    <w:p>
      <w:pPr>
        <w:pStyle w:val="Heading1"/>
        <w:spacing w:after="160" w:before="360"/>
      </w:pPr>
      <w:r>
        <w:rPr>
          <w:b/>
          <w:bCs/>
          <w:color w:val="17202B"/>
          <w:sz w:val="26"/>
          <w:szCs w:val="26"/>
        </w:rPr>
        <w:t xml:space="preserve">Article 5 — Abonnement, tarifs et facturation</w:t>
      </w:r>
    </w:p>
    <w:p>
      <w:pPr>
        <w:pBdr>
          <w:left w:val="single" w:color="A8650A" w:sz="18" w:space="8"/>
        </w:pBdr>
        <w:shd w:fill="F4E3CA" w:val="clear"/>
        <w:spacing w:after="200" w:before="100"/>
        <w:ind w:left="120"/>
      </w:pPr>
      <w:r>
        <w:rPr>
          <w:i/>
          <w:iCs/>
          <w:color w:val="7A4A08"/>
          <w:sz w:val="19"/>
          <w:szCs w:val="19"/>
        </w:rPr>
        <w:t xml:space="preserve">⚠ À COMPLÉTER / VALIDER : Formules, prix, périodicité et modalités de paiement à préciser selon votre grille tarifaire commerciale.</w:t>
      </w:r>
    </w:p>
    <w:p>
      <w:pPr>
        <w:spacing w:after="140" w:line="300"/>
      </w:pPr>
      <w:r>
        <w:rPr>
          <w:color w:val="17202B"/>
          <w:sz w:val="21"/>
          <w:szCs w:val="21"/>
        </w:rPr>
        <w:t xml:space="preserve">L'accès au Service est soumis à la souscription d'un abonnement payant, dont la formule, le tarif et la périodicité de facturation (mensuelle ou annuelle) sont ceux affichés sur massla.sn au moment de la souscription, ou convenus séparément avec le Client.</w:t>
      </w:r>
    </w:p>
    <w:p>
      <w:pPr>
        <w:spacing w:after="140" w:line="300"/>
      </w:pPr>
      <w:r>
        <w:rPr>
          <w:color w:val="17202B"/>
          <w:sz w:val="21"/>
          <w:szCs w:val="21"/>
        </w:rPr>
        <w:t xml:space="preserve">Les factures d'abonnement sont émises par l'Éditeur et consultables par le Client depuis son espace de gestion. Le Client s'engage à régler les sommes dues aux échéances convenues.</w:t>
      </w:r>
    </w:p>
    <w:p>
      <w:pPr>
        <w:spacing w:after="140" w:line="300"/>
      </w:pPr>
      <w:r>
        <w:rPr>
          <w:b/>
          <w:bCs/>
          <w:sz w:val="21"/>
          <w:szCs w:val="21"/>
        </w:rPr>
        <w:t xml:space="preserve">Défaut de paiement : </w:t>
      </w:r>
      <w:r>
        <w:rPr>
          <w:sz w:val="21"/>
          <w:szCs w:val="21"/>
        </w:rPr>
        <w:t xml:space="preserve">à défaut de paiement à l'échéance, et après une relance restée sans effet pendant un délai de [À DÉFINIR — ex. 15 jours], l'Éditeur peut suspendre l'accès du Client au Service, sans préjudice de son droit d'en demander le règlement et, le cas échéant, de résilier l'abonnement dans les conditions de l'article 15.</w:t>
      </w:r>
    </w:p>
    <w:p>
      <w:pPr>
        <w:spacing w:after="140" w:line="300"/>
      </w:pPr>
      <w:r>
        <w:rPr>
          <w:color w:val="17202B"/>
          <w:sz w:val="21"/>
          <w:szCs w:val="21"/>
        </w:rPr>
        <w:t xml:space="preserve">L'Éditeur peut réviser ses tarifs à tout moment, moyennant un préavis de [À DÉFINIR — ex. 30 jours] avant l'échéance de renouvellement du Client, notifié par tout moyen (courriel, notification dans le Service).</w:t>
      </w:r>
    </w:p>
    <w:p>
      <w:pPr>
        <w:pStyle w:val="Heading1"/>
        <w:spacing w:after="160" w:before="360"/>
      </w:pPr>
      <w:r>
        <w:rPr>
          <w:b/>
          <w:bCs/>
          <w:color w:val="17202B"/>
          <w:sz w:val="26"/>
          <w:szCs w:val="26"/>
        </w:rPr>
        <w:t xml:space="preserve">Article 6 — Obligations du Client</w:t>
      </w:r>
    </w:p>
    <w:p>
      <w:pPr>
        <w:spacing w:after="140" w:line="300"/>
      </w:pPr>
      <w:r>
        <w:rPr>
          <w:color w:val="17202B"/>
          <w:sz w:val="21"/>
          <w:szCs w:val="21"/>
        </w:rPr>
        <w:t xml:space="preserve">Le Client s'engage à :</w:t>
      </w:r>
    </w:p>
    <w:p>
      <w:pPr>
        <w:pStyle w:val="ListParagraph"/>
        <w:numPr>
          <w:ilvl w:val="0"/>
          <w:numId w:val="1"/>
        </w:numPr>
        <w:spacing w:after="80" w:line="300"/>
      </w:pPr>
      <w:r>
        <w:rPr>
          <w:color w:val="17202B"/>
          <w:sz w:val="21"/>
          <w:szCs w:val="21"/>
        </w:rPr>
        <w:t xml:space="preserve">utiliser le Service conformément à sa destination et à la réglementation applicable à son activité (notamment fiscale, sociale et sanitaire) ;</w:t>
      </w:r>
    </w:p>
    <w:p>
      <w:pPr>
        <w:pStyle w:val="ListParagraph"/>
        <w:numPr>
          <w:ilvl w:val="0"/>
          <w:numId w:val="1"/>
        </w:numPr>
        <w:spacing w:after="80" w:line="300"/>
      </w:pPr>
      <w:r>
        <w:rPr>
          <w:color w:val="17202B"/>
          <w:sz w:val="21"/>
          <w:szCs w:val="21"/>
        </w:rPr>
        <w:t xml:space="preserve">ne pas utiliser le Service à des fins illicites, frauduleuses ou contraires à l'ordre public ;</w:t>
      </w:r>
    </w:p>
    <w:p>
      <w:pPr>
        <w:pStyle w:val="ListParagraph"/>
        <w:numPr>
          <w:ilvl w:val="0"/>
          <w:numId w:val="1"/>
        </w:numPr>
        <w:spacing w:after="80" w:line="300"/>
      </w:pPr>
      <w:r>
        <w:rPr>
          <w:color w:val="17202B"/>
          <w:sz w:val="21"/>
          <w:szCs w:val="21"/>
        </w:rPr>
        <w:t xml:space="preserve">garantir l'exactitude des Données qu'il saisit dans le Service, l'Éditeur n'étant pas en mesure de vérifier leur véracité ;</w:t>
      </w:r>
    </w:p>
    <w:p>
      <w:pPr>
        <w:pStyle w:val="ListParagraph"/>
        <w:numPr>
          <w:ilvl w:val="0"/>
          <w:numId w:val="1"/>
        </w:numPr>
        <w:spacing w:after="80" w:line="300"/>
      </w:pPr>
      <w:r>
        <w:rPr>
          <w:color w:val="17202B"/>
          <w:sz w:val="21"/>
          <w:szCs w:val="21"/>
        </w:rPr>
        <w:t xml:space="preserve">obtenir, le cas échéant, le consentement de ses Clients finaux pour l'enregistrement de leurs données dans le Service et l'envoi de rappels par WhatsApp ;</w:t>
      </w:r>
    </w:p>
    <w:p>
      <w:pPr>
        <w:pStyle w:val="ListParagraph"/>
        <w:numPr>
          <w:ilvl w:val="0"/>
          <w:numId w:val="1"/>
        </w:numPr>
        <w:spacing w:after="80" w:line="300"/>
      </w:pPr>
      <w:r>
        <w:rPr>
          <w:color w:val="17202B"/>
          <w:sz w:val="21"/>
          <w:szCs w:val="21"/>
        </w:rPr>
        <w:t xml:space="preserve">ne pas tenter de perturber le fonctionnement du Service (surcharge délibérée, intrusion, contournement des mesures de sécurité) ;</w:t>
      </w:r>
    </w:p>
    <w:p>
      <w:pPr>
        <w:pStyle w:val="ListParagraph"/>
        <w:numPr>
          <w:ilvl w:val="0"/>
          <w:numId w:val="1"/>
        </w:numPr>
        <w:spacing w:after="80" w:line="300"/>
      </w:pPr>
      <w:r>
        <w:rPr>
          <w:color w:val="17202B"/>
          <w:sz w:val="21"/>
          <w:szCs w:val="21"/>
        </w:rPr>
        <w:t xml:space="preserve">assumer seul la responsabilité de ses déclarations comptables, fiscales et sociales — le Service est un outil d'aide à la gestion, il ne constitue ni un conseil comptable, ni un conseil juridique, ni un conseil fiscal.</w:t>
      </w:r>
    </w:p>
    <w:p>
      <w:pPr>
        <w:pStyle w:val="Heading1"/>
        <w:spacing w:after="160" w:before="360"/>
      </w:pPr>
      <w:r>
        <w:rPr>
          <w:b/>
          <w:bCs/>
          <w:color w:val="17202B"/>
          <w:sz w:val="26"/>
          <w:szCs w:val="26"/>
        </w:rPr>
        <w:t xml:space="preserve">Article 7 — Propriété intellectuelle</w:t>
      </w:r>
    </w:p>
    <w:p>
      <w:pPr>
        <w:spacing w:after="140" w:line="300"/>
      </w:pPr>
      <w:r>
        <w:rPr>
          <w:b/>
          <w:bCs/>
          <w:sz w:val="21"/>
          <w:szCs w:val="21"/>
        </w:rPr>
        <w:t xml:space="preserve">7.1 — Propriété exclusive de l'Éditeur. </w:t>
      </w:r>
      <w:r>
        <w:rPr>
          <w:sz w:val="21"/>
          <w:szCs w:val="21"/>
        </w:rPr>
        <w:t xml:space="preserve">Le Service, son code source (frontend et backend), son architecture, ses bases de données, ses interfaces graphiques, sa documentation technique et commerciale, ses marques (dont « Massla »), logos et noms de domaine sont la propriété exclusive de l'Éditeur ou de ses concédants, et sont protégés par le droit d'auteur, le droit des marques et tout autre droit de propriété intellectuelle applicable au Sénégal et dans l'espace OHADA.</w:t>
      </w:r>
    </w:p>
    <w:p>
      <w:pPr>
        <w:spacing w:after="140" w:line="300"/>
      </w:pPr>
      <w:r>
        <w:rPr>
          <w:b/>
          <w:bCs/>
          <w:sz w:val="21"/>
          <w:szCs w:val="21"/>
        </w:rPr>
        <w:t xml:space="preserve">7.2 — Portée du droit concédé au Client. </w:t>
      </w:r>
      <w:r>
        <w:rPr>
          <w:sz w:val="21"/>
          <w:szCs w:val="21"/>
        </w:rPr>
        <w:t xml:space="preserve">L'abonnement au Service confère au Client un droit d'usage personnel, non exclusif, non cessible et non transférable du Service, pour la durée de l'abonnement et pour les seuls besoins de sa propre exploitation. Cet abonnement ne confère au Client aucun droit de propriété sur le Service, son code source ou tout élément qui le compose.</w:t>
      </w:r>
    </w:p>
    <w:p>
      <w:pPr>
        <w:spacing w:after="140" w:line="300"/>
      </w:pPr>
      <w:r>
        <w:rPr>
          <w:b/>
          <w:bCs/>
          <w:sz w:val="21"/>
          <w:szCs w:val="21"/>
        </w:rPr>
        <w:t xml:space="preserve">7.3 — Interdictions. </w:t>
      </w:r>
      <w:r>
        <w:rPr>
          <w:sz w:val="21"/>
          <w:szCs w:val="21"/>
        </w:rPr>
        <w:t xml:space="preserve">Sauf autorisation écrite préalable de l'Éditeur, et dans les limites permises par la loi, le Client s'interdit de :</w:t>
      </w:r>
    </w:p>
    <w:p>
      <w:pPr>
        <w:pStyle w:val="ListParagraph"/>
        <w:numPr>
          <w:ilvl w:val="0"/>
          <w:numId w:val="1"/>
        </w:numPr>
        <w:spacing w:after="80" w:line="300"/>
      </w:pPr>
      <w:r>
        <w:rPr>
          <w:color w:val="17202B"/>
          <w:sz w:val="21"/>
          <w:szCs w:val="21"/>
        </w:rPr>
        <w:t xml:space="preserve">copier, reproduire, extraire ou télécharger tout ou partie du code source, des interfaces ou de la documentation du Service, au-delà d'un usage normal dans un navigateur ;</w:t>
      </w:r>
    </w:p>
    <w:p>
      <w:pPr>
        <w:pStyle w:val="ListParagraph"/>
        <w:numPr>
          <w:ilvl w:val="0"/>
          <w:numId w:val="1"/>
        </w:numPr>
        <w:spacing w:after="80" w:line="300"/>
      </w:pPr>
      <w:r>
        <w:rPr>
          <w:color w:val="17202B"/>
          <w:sz w:val="21"/>
          <w:szCs w:val="21"/>
        </w:rPr>
        <w:t xml:space="preserve">décompiler, désassembler ou procéder à toute rétro-ingénierie (reverse engineering) du Service ;</w:t>
      </w:r>
    </w:p>
    <w:p>
      <w:pPr>
        <w:pStyle w:val="ListParagraph"/>
        <w:numPr>
          <w:ilvl w:val="0"/>
          <w:numId w:val="1"/>
        </w:numPr>
        <w:spacing w:after="80" w:line="300"/>
      </w:pPr>
      <w:r>
        <w:rPr>
          <w:color w:val="17202B"/>
          <w:sz w:val="21"/>
          <w:szCs w:val="21"/>
        </w:rPr>
        <w:t xml:space="preserve">créer une œuvre dérivée du Service, ou développer, faire développer ou commercialiser un logiciel ou service concurrent à partir d'une connaissance acquise du Service ;</w:t>
      </w:r>
    </w:p>
    <w:p>
      <w:pPr>
        <w:pStyle w:val="ListParagraph"/>
        <w:numPr>
          <w:ilvl w:val="0"/>
          <w:numId w:val="1"/>
        </w:numPr>
        <w:spacing w:after="80" w:line="300"/>
      </w:pPr>
      <w:r>
        <w:rPr>
          <w:color w:val="17202B"/>
          <w:sz w:val="21"/>
          <w:szCs w:val="21"/>
        </w:rPr>
        <w:t xml:space="preserve">céder, sous-licencier, louer, prêter, distribuer ou mettre à disposition d'un tiers, à titre gratuit ou onéreux, tout ou partie du Service ou des accès qui lui sont associés ;</w:t>
      </w:r>
    </w:p>
    <w:p>
      <w:pPr>
        <w:pStyle w:val="ListParagraph"/>
        <w:numPr>
          <w:ilvl w:val="0"/>
          <w:numId w:val="1"/>
        </w:numPr>
        <w:spacing w:after="80" w:line="300"/>
      </w:pPr>
      <w:r>
        <w:rPr>
          <w:color w:val="17202B"/>
          <w:sz w:val="21"/>
          <w:szCs w:val="21"/>
        </w:rPr>
        <w:t xml:space="preserve">supprimer ou altérer toute mention de propriété intellectuelle figurant sur le Service.</w:t>
      </w:r>
    </w:p>
    <w:p>
      <w:pPr>
        <w:spacing w:after="140" w:line="300"/>
      </w:pPr>
      <w:r>
        <w:rPr>
          <w:color w:val="17202B"/>
          <w:sz w:val="21"/>
          <w:szCs w:val="21"/>
        </w:rPr>
        <w:t xml:space="preserve">Cette clause survit à la résiliation ou à l'expiration des présentes CGU, quelle qu'en soit la cause. Toute violation du présent article autorise l'Éditeur à résilier immédiatement l'abonnement du Client concerné, sans préavis ni indemnité, et à engager toute action en réparation du préjudice subi.</w:t>
      </w:r>
    </w:p>
    <w:p>
      <w:pPr>
        <w:spacing w:after="140" w:line="300"/>
      </w:pPr>
      <w:r>
        <w:rPr>
          <w:b/>
          <w:bCs/>
          <w:sz w:val="21"/>
          <w:szCs w:val="21"/>
        </w:rPr>
        <w:t xml:space="preserve">7.4 — Propriété des Données. </w:t>
      </w:r>
      <w:r>
        <w:rPr>
          <w:sz w:val="21"/>
          <w:szCs w:val="21"/>
        </w:rPr>
        <w:t xml:space="preserve">Le Client conserve l'entière propriété des Données qu'il saisit dans le Service. L'Éditeur ne revendique aucun droit de propriété sur ces Données et ne les utilise que dans la mesure nécessaire à la fourniture, la maintenance et l'amélioration du Service.</w:t>
      </w:r>
    </w:p>
    <w:p>
      <w:pPr>
        <w:pStyle w:val="Heading1"/>
        <w:spacing w:after="160" w:before="360"/>
      </w:pPr>
      <w:r>
        <w:rPr>
          <w:b/>
          <w:bCs/>
          <w:color w:val="17202B"/>
          <w:sz w:val="26"/>
          <w:szCs w:val="26"/>
        </w:rPr>
        <w:t xml:space="preserve">Article 8 — Données personnelles et confidentialité</w:t>
      </w:r>
    </w:p>
    <w:p>
      <w:pPr>
        <w:spacing w:after="140" w:line="300"/>
      </w:pPr>
      <w:r>
        <w:rPr>
          <w:color w:val="17202B"/>
          <w:sz w:val="21"/>
          <w:szCs w:val="21"/>
        </w:rPr>
        <w:t xml:space="preserve">L'Éditeur traite les données à caractère personnel du Client, de ses Utilisateurs et, pour le compte du Client, de ses Clients finaux, dans le respect de la loi n°2008-12 du 25 janvier 2008 sur la protection des données à caractère personnel et de ses textes d'application.</w:t>
      </w:r>
    </w:p>
    <w:p>
      <w:pPr>
        <w:spacing w:after="140" w:line="300"/>
      </w:pPr>
      <w:r>
        <w:rPr>
          <w:color w:val="17202B"/>
          <w:sz w:val="21"/>
          <w:szCs w:val="21"/>
        </w:rPr>
        <w:t xml:space="preserve">Pour les données de ses Clients finaux, le Client agit en qualité de responsable de traitement et l'Éditeur en qualité de sous-traitant, agissant sur instruction du Client pour les seuls besoins de la fourniture du Service.</w:t>
      </w:r>
    </w:p>
    <w:p>
      <w:pPr>
        <w:spacing w:after="140" w:line="300"/>
      </w:pPr>
      <w:r>
        <w:rPr>
          <w:color w:val="17202B"/>
          <w:sz w:val="21"/>
          <w:szCs w:val="21"/>
        </w:rPr>
        <w:t xml:space="preserve">Chaque Client dispose d'un espace de données techniquement isolé au sein de l'infrastructure du Service : les Données d'un Client ne sont, en usage normal, ni visibles ni accessibles par un autre Client.</w:t>
      </w:r>
    </w:p>
    <w:p>
      <w:pPr>
        <w:spacing w:after="140" w:line="300"/>
      </w:pPr>
      <w:r>
        <w:rPr>
          <w:color w:val="17202B"/>
          <w:sz w:val="21"/>
          <w:szCs w:val="21"/>
        </w:rPr>
        <w:t xml:space="preserve">Le Client, ses Utilisateurs et ses Clients finaux disposent d'un droit d'accès, de rectification, d'opposition et de suppression de leurs données personnelles, exerçable auprès de l'Éditeur aux coordonnées figurant en fin de document.</w:t>
      </w:r>
    </w:p>
    <w:p>
      <w:pPr>
        <w:pBdr>
          <w:left w:val="single" w:color="A8650A" w:sz="18" w:space="8"/>
        </w:pBdr>
        <w:shd w:fill="F4E3CA" w:val="clear"/>
        <w:spacing w:after="200" w:before="100"/>
        <w:ind w:left="120"/>
      </w:pPr>
      <w:r>
        <w:rPr>
          <w:i/>
          <w:iCs/>
          <w:color w:val="7A4A08"/>
          <w:sz w:val="19"/>
          <w:szCs w:val="19"/>
        </w:rPr>
        <w:t xml:space="preserve">⚠ À COMPLÉTER / VALIDER : Si vous visez aussi une clientèle ou des données hébergées hors du Sénégal, faites confirmer par un juriste la conformité de ce chapitre avec le RGPD (le cas échéant) en plus de la loi sénégalaise.</w:t>
      </w:r>
    </w:p>
    <w:p>
      <w:pPr>
        <w:pStyle w:val="Heading1"/>
        <w:spacing w:after="160" w:before="360"/>
      </w:pPr>
      <w:r>
        <w:rPr>
          <w:b/>
          <w:bCs/>
          <w:color w:val="17202B"/>
          <w:sz w:val="26"/>
          <w:szCs w:val="26"/>
        </w:rPr>
        <w:t xml:space="preserve">Article 9 — Paiements Mobile Money</w:t>
      </w:r>
    </w:p>
    <w:p>
      <w:pPr>
        <w:spacing w:after="140" w:line="300"/>
      </w:pPr>
      <w:r>
        <w:rPr>
          <w:color w:val="17202B"/>
          <w:sz w:val="21"/>
          <w:szCs w:val="21"/>
        </w:rPr>
        <w:t xml:space="preserve">Le Service permet au Client d'encaisser ses propres Clients finaux par Mobile Money (Wave, Orange Money) par l'intermédiaire d'un agrégateur de paiement tiers. L'Éditeur n'est ni un établissement de paiement, ni un établissement de monnaie électronique, et n'est pas partie aux transactions financières intervenant entre le Client et ses Clients finaux.</w:t>
      </w:r>
    </w:p>
    <w:p>
      <w:pPr>
        <w:spacing w:after="140" w:line="300"/>
      </w:pPr>
      <w:r>
        <w:rPr>
          <w:color w:val="17202B"/>
          <w:sz w:val="21"/>
          <w:szCs w:val="21"/>
        </w:rPr>
        <w:t xml:space="preserve">L'Éditeur ne saurait être tenu responsable des délais de règlement, incidents techniques, refus de transaction ou tout autre dysfonctionnement imputable à l'agrégateur de paiement ou aux opérateurs de Mobile Money.</w:t>
      </w:r>
    </w:p>
    <w:p>
      <w:pPr>
        <w:pStyle w:val="Heading1"/>
        <w:spacing w:after="160" w:before="360"/>
      </w:pPr>
      <w:r>
        <w:rPr>
          <w:b/>
          <w:bCs/>
          <w:color w:val="17202B"/>
          <w:sz w:val="26"/>
          <w:szCs w:val="26"/>
        </w:rPr>
        <w:t xml:space="preserve">Article 10 — Disponibilité et support</w:t>
      </w:r>
    </w:p>
    <w:p>
      <w:pPr>
        <w:spacing w:after="140" w:line="300"/>
      </w:pPr>
      <w:r>
        <w:rPr>
          <w:color w:val="17202B"/>
          <w:sz w:val="21"/>
          <w:szCs w:val="21"/>
        </w:rPr>
        <w:t xml:space="preserve">L'Éditeur met en œuvre les moyens raisonnables pour assurer une disponibilité continue du Service, sans toutefois garantir une disponibilité ininterrompue. Des interruptions peuvent survenir pour des raisons de maintenance planifiée (notifiée autant que possible à l'avance) ou pour des causes indépendantes de la volonté de l'Éditeur.</w:t>
      </w:r>
    </w:p>
    <w:p>
      <w:pPr>
        <w:spacing w:after="140" w:line="300"/>
      </w:pPr>
      <w:r>
        <w:rPr>
          <w:color w:val="17202B"/>
          <w:sz w:val="21"/>
          <w:szCs w:val="21"/>
        </w:rPr>
        <w:t xml:space="preserve">Le Client peut soumettre toute demande d'assistance via le module de support intégré au Service. L'Éditeur s'efforce de traiter les demandes dans un délai raisonnable [À DÉFINIR selon votre engagement de support].</w:t>
      </w:r>
    </w:p>
    <w:p>
      <w:pPr>
        <w:pStyle w:val="Heading1"/>
        <w:spacing w:after="160" w:before="360"/>
      </w:pPr>
      <w:r>
        <w:rPr>
          <w:b/>
          <w:bCs/>
          <w:color w:val="17202B"/>
          <w:sz w:val="26"/>
          <w:szCs w:val="26"/>
        </w:rPr>
        <w:t xml:space="preserve">Article 11 — Sauvegarde des Données</w:t>
      </w:r>
    </w:p>
    <w:p>
      <w:pPr>
        <w:spacing w:after="140" w:line="300"/>
      </w:pPr>
      <w:r>
        <w:rPr>
          <w:color w:val="17202B"/>
          <w:sz w:val="21"/>
          <w:szCs w:val="21"/>
        </w:rPr>
        <w:t xml:space="preserve">L'Éditeur effectue des sauvegardes régulières et chiffrées des Données hébergées dans le cadre du Service. Ces sauvegardes constituent une mesure de continuité d'activité et ne dispensent pas le Client d'exporter et de conserver, de son côté, une copie des Données qu'il jugerait critiques pour son activité.</w:t>
      </w:r>
    </w:p>
    <w:p>
      <w:pPr>
        <w:pStyle w:val="Heading1"/>
        <w:spacing w:after="160" w:before="360"/>
      </w:pPr>
      <w:r>
        <w:rPr>
          <w:b/>
          <w:bCs/>
          <w:color w:val="17202B"/>
          <w:sz w:val="26"/>
          <w:szCs w:val="26"/>
        </w:rPr>
        <w:t xml:space="preserve">Article 12 — Responsabilité</w:t>
      </w:r>
    </w:p>
    <w:p>
      <w:pPr>
        <w:spacing w:after="140" w:line="300"/>
      </w:pPr>
      <w:r>
        <w:rPr>
          <w:color w:val="17202B"/>
          <w:sz w:val="21"/>
          <w:szCs w:val="21"/>
        </w:rPr>
        <w:t xml:space="preserve">L'Éditeur est tenu à une obligation de moyens dans la fourniture du Service. Sa responsabilité ne saurait être engagée en cas de dommage résultant :</w:t>
      </w:r>
    </w:p>
    <w:p>
      <w:pPr>
        <w:pStyle w:val="ListParagraph"/>
        <w:numPr>
          <w:ilvl w:val="0"/>
          <w:numId w:val="1"/>
        </w:numPr>
        <w:spacing w:after="80" w:line="300"/>
      </w:pPr>
      <w:r>
        <w:rPr>
          <w:color w:val="17202B"/>
          <w:sz w:val="21"/>
          <w:szCs w:val="21"/>
        </w:rPr>
        <w:t xml:space="preserve">d'une utilisation du Service non conforme aux présentes CGU ;</w:t>
      </w:r>
    </w:p>
    <w:p>
      <w:pPr>
        <w:pStyle w:val="ListParagraph"/>
        <w:numPr>
          <w:ilvl w:val="0"/>
          <w:numId w:val="1"/>
        </w:numPr>
        <w:spacing w:after="80" w:line="300"/>
      </w:pPr>
      <w:r>
        <w:rPr>
          <w:color w:val="17202B"/>
          <w:sz w:val="21"/>
          <w:szCs w:val="21"/>
        </w:rPr>
        <w:t xml:space="preserve">d'une inexactitude des Données saisies par le Client ;</w:t>
      </w:r>
    </w:p>
    <w:p>
      <w:pPr>
        <w:pStyle w:val="ListParagraph"/>
        <w:numPr>
          <w:ilvl w:val="0"/>
          <w:numId w:val="1"/>
        </w:numPr>
        <w:spacing w:after="80" w:line="300"/>
      </w:pPr>
      <w:r>
        <w:rPr>
          <w:color w:val="17202B"/>
          <w:sz w:val="21"/>
          <w:szCs w:val="21"/>
        </w:rPr>
        <w:t xml:space="preserve">d'un fait imputable à un tiers (opérateur télécom, hébergeur, agrégateur de paiement, fournisseur d'accès WhatsApp/Meta) ;</w:t>
      </w:r>
    </w:p>
    <w:p>
      <w:pPr>
        <w:pStyle w:val="ListParagraph"/>
        <w:numPr>
          <w:ilvl w:val="0"/>
          <w:numId w:val="1"/>
        </w:numPr>
        <w:spacing w:after="80" w:line="300"/>
      </w:pPr>
      <w:r>
        <w:rPr>
          <w:color w:val="17202B"/>
          <w:sz w:val="21"/>
          <w:szCs w:val="21"/>
        </w:rPr>
        <w:t xml:space="preserve">d'un cas de force majeure.</w:t>
      </w:r>
    </w:p>
    <w:p>
      <w:pPr>
        <w:spacing w:after="140" w:line="300"/>
      </w:pPr>
      <w:r>
        <w:rPr>
          <w:sz w:val="21"/>
          <w:szCs w:val="21"/>
        </w:rPr>
        <w:t xml:space="preserve">En tout état de cause, la responsabilité de l'Éditeur, toutes causes confondues, est limitée aux dommages directs et plafonnée au montant total versé par le Client au titre de son abonnement au cours des douze (12) derniers mois précédant le fait générateur du dommage. L'Éditeur ne saurait être tenu responsable des dommages indirects (perte d'exploitation, perte de chiffre d'affaires, préjudice commercial).</w:t>
      </w:r>
    </w:p>
    <w:p>
      <w:pPr>
        <w:pStyle w:val="Heading1"/>
        <w:spacing w:after="160" w:before="360"/>
      </w:pPr>
      <w:r>
        <w:rPr>
          <w:b/>
          <w:bCs/>
          <w:color w:val="17202B"/>
          <w:sz w:val="26"/>
          <w:szCs w:val="26"/>
        </w:rPr>
        <w:t xml:space="preserve">Article 13 — Durée et résiliation</w:t>
      </w:r>
    </w:p>
    <w:p>
      <w:pPr>
        <w:spacing w:after="140" w:line="300"/>
      </w:pPr>
      <w:r>
        <w:rPr>
          <w:color w:val="17202B"/>
          <w:sz w:val="21"/>
          <w:szCs w:val="21"/>
        </w:rPr>
        <w:t xml:space="preserve">L'abonnement est souscrit pour la durée choisie par le Client lors de la souscription (mensuelle ou annuelle), renouvelable par tacite reconduction sauf résiliation par l'une des parties.</w:t>
      </w:r>
    </w:p>
    <w:p>
      <w:pPr>
        <w:spacing w:after="140" w:line="300"/>
      </w:pPr>
      <w:r>
        <w:rPr>
          <w:b/>
          <w:bCs/>
          <w:sz w:val="21"/>
          <w:szCs w:val="21"/>
        </w:rPr>
        <w:t xml:space="preserve">Résiliation par le Client : </w:t>
      </w:r>
      <w:r>
        <w:rPr>
          <w:sz w:val="21"/>
          <w:szCs w:val="21"/>
        </w:rPr>
        <w:t xml:space="preserve">le Client peut résilier son abonnement à tout moment, moyennant un préavis de [À DÉFINIR], sans que les sommes déjà versées ne soient remboursées, sauf disposition contraire prévue à la souscription.</w:t>
      </w:r>
    </w:p>
    <w:p>
      <w:pPr>
        <w:spacing w:after="140" w:line="300"/>
      </w:pPr>
      <w:r>
        <w:rPr>
          <w:b/>
          <w:bCs/>
          <w:sz w:val="21"/>
          <w:szCs w:val="21"/>
        </w:rPr>
        <w:t xml:space="preserve">Résiliation par l'Éditeur : </w:t>
      </w:r>
      <w:r>
        <w:rPr>
          <w:sz w:val="21"/>
          <w:szCs w:val="21"/>
        </w:rPr>
        <w:t xml:space="preserve">l'Éditeur peut résilier l'abonnement, de plein droit et sans indemnité, en cas de manquement grave du Client aux présentes CGU (notamment à l'article 7) non corrigé dans un délai de [À DÉFINIR] suivant mise en demeure, ou en cas de non-paiement persistant.</w:t>
      </w:r>
    </w:p>
    <w:p>
      <w:pPr>
        <w:spacing w:after="140" w:line="300"/>
      </w:pPr>
      <w:r>
        <w:rPr>
          <w:color w:val="17202B"/>
          <w:sz w:val="21"/>
          <w:szCs w:val="21"/>
        </w:rPr>
        <w:t xml:space="preserve">À l'issue de la résiliation, l'accès du Client au Service est désactivé. Le Client dispose d'un délai de [À DÉFINIR — ex. 30 jours] pour demander l'export de ses Données, au-delà duquel l'Éditeur peut procéder à leur suppression définitive.</w:t>
      </w:r>
    </w:p>
    <w:p>
      <w:pPr>
        <w:pStyle w:val="Heading1"/>
        <w:spacing w:after="160" w:before="360"/>
      </w:pPr>
      <w:r>
        <w:rPr>
          <w:b/>
          <w:bCs/>
          <w:color w:val="17202B"/>
          <w:sz w:val="26"/>
          <w:szCs w:val="26"/>
        </w:rPr>
        <w:t xml:space="preserve">Article 14 — Modification des CGU</w:t>
      </w:r>
    </w:p>
    <w:p>
      <w:pPr>
        <w:spacing w:after="140" w:line="300"/>
      </w:pPr>
      <w:r>
        <w:rPr>
          <w:color w:val="17202B"/>
          <w:sz w:val="21"/>
          <w:szCs w:val="21"/>
        </w:rPr>
        <w:t xml:space="preserve">L'Éditeur se réserve le droit de modifier les présentes CGU à tout moment, notamment pour les adapter à l'évolution du Service ou de la réglementation. Toute modification substantielle est notifiée au Client par courriel ou par notification dans le Service, au moins [À DÉFINIR — ex. 15 jours] avant son entrée en vigueur. La poursuite de l'utilisation du Service après cette date vaut acceptation des CGU modifiées.</w:t>
      </w:r>
    </w:p>
    <w:p>
      <w:pPr>
        <w:pStyle w:val="Heading1"/>
        <w:spacing w:after="160" w:before="360"/>
      </w:pPr>
      <w:r>
        <w:rPr>
          <w:b/>
          <w:bCs/>
          <w:color w:val="17202B"/>
          <w:sz w:val="26"/>
          <w:szCs w:val="26"/>
        </w:rPr>
        <w:t xml:space="preserve">Article 15 — Dispositions diverses</w:t>
      </w:r>
    </w:p>
    <w:p>
      <w:pPr>
        <w:spacing w:after="140" w:line="300"/>
      </w:pPr>
      <w:r>
        <w:rPr>
          <w:color w:val="17202B"/>
          <w:sz w:val="21"/>
          <w:szCs w:val="21"/>
        </w:rPr>
        <w:t xml:space="preserve">Si l'une des clauses des présentes CGU était déclarée nulle ou inapplicable, les autres clauses conserveraient leur pleine validité et leur plein effet.</w:t>
      </w:r>
    </w:p>
    <w:p>
      <w:pPr>
        <w:spacing w:after="140" w:line="300"/>
      </w:pPr>
      <w:r>
        <w:rPr>
          <w:color w:val="17202B"/>
          <w:sz w:val="21"/>
          <w:szCs w:val="21"/>
        </w:rPr>
        <w:t xml:space="preserve">Le fait pour l'Éditeur de ne pas se prévaloir à un moment donné d'une clause des présentes CGU ne saurait être interprété comme une renonciation à s'en prévaloir ultérieurement.</w:t>
      </w:r>
    </w:p>
    <w:p>
      <w:pPr>
        <w:pStyle w:val="Heading1"/>
        <w:spacing w:after="160" w:before="360"/>
      </w:pPr>
      <w:r>
        <w:rPr>
          <w:b/>
          <w:bCs/>
          <w:color w:val="17202B"/>
          <w:sz w:val="26"/>
          <w:szCs w:val="26"/>
        </w:rPr>
        <w:t xml:space="preserve">Article 16 — Droit applicable et juridiction compétente</w:t>
      </w:r>
    </w:p>
    <w:p>
      <w:pPr>
        <w:spacing w:after="140" w:line="300"/>
      </w:pPr>
      <w:r>
        <w:rPr>
          <w:color w:val="17202B"/>
          <w:sz w:val="21"/>
          <w:szCs w:val="21"/>
        </w:rPr>
        <w:t xml:space="preserve">Les présentes CGU sont soumises au droit sénégalais et, pour les matières relevant de son champ d'application, au droit uniforme OHADA.</w:t>
      </w:r>
    </w:p>
    <w:p>
      <w:pPr>
        <w:spacing w:after="140" w:line="300"/>
      </w:pPr>
      <w:r>
        <w:rPr>
          <w:color w:val="17202B"/>
          <w:sz w:val="21"/>
          <w:szCs w:val="21"/>
        </w:rPr>
        <w:t xml:space="preserve">En cas de litige relatif à la formation, l'interprétation ou l'exécution des présentes CGU, les parties s'efforceront de trouver une solution amiable avant toute action contentieuse. À défaut d'accord amiable dans un délai raisonnable, le litige sera porté devant les juridictions compétentes de Dakar, Sénégal.</w:t>
      </w:r>
    </w:p>
    <w:p>
      <w:pPr>
        <w:pBdr>
          <w:top w:val="single" w:color="C7D0D8" w:sz="6"/>
        </w:pBdr>
        <w:spacing w:before="400"/>
      </w:pPr>
    </w:p>
    <w:p>
      <w:pPr>
        <w:pStyle w:val="Heading2"/>
        <w:spacing w:after="100" w:before="220"/>
      </w:pPr>
      <w:r>
        <w:rPr>
          <w:b/>
          <w:bCs/>
          <w:color w:val="2F7D5C"/>
          <w:sz w:val="22"/>
          <w:szCs w:val="22"/>
        </w:rPr>
        <w:t xml:space="preserve">Coordonnées de l'Éditeur</w:t>
      </w:r>
    </w:p>
    <w:p>
      <w:pPr>
        <w:spacing w:after="140" w:line="300"/>
      </w:pPr>
      <w:r>
        <w:rPr>
          <w:b/>
          <w:bCs/>
          <w:sz w:val="21"/>
          <w:szCs w:val="21"/>
        </w:rPr>
        <w:t xml:space="preserve">FAYSSALAME</w:t>
      </w:r>
    </w:p>
    <w:p>
      <w:pPr>
        <w:spacing w:after="140" w:line="300"/>
      </w:pPr>
      <w:r>
        <w:rPr>
          <w:color w:val="17202B"/>
          <w:sz w:val="21"/>
          <w:szCs w:val="21"/>
        </w:rPr>
        <w:t xml:space="preserve">Cité Castors Marine III, Villa 48, Dakar, Sénégal</w:t>
      </w:r>
    </w:p>
    <w:p>
      <w:pPr>
        <w:spacing w:after="140" w:line="300"/>
      </w:pPr>
      <w:r>
        <w:rPr>
          <w:color w:val="17202B"/>
          <w:sz w:val="21"/>
          <w:szCs w:val="21"/>
        </w:rPr>
        <w:t xml:space="preserve">Identifiant fiscal : SN-DKR-2025 B 13520</w:t>
      </w:r>
    </w:p>
    <w:p>
      <w:pPr>
        <w:spacing w:after="140" w:line="300"/>
      </w:pPr>
      <w:r>
        <w:rPr>
          <w:color w:val="17202B"/>
          <w:sz w:val="21"/>
          <w:szCs w:val="21"/>
        </w:rPr>
        <w:t xml:space="preserve">Courriel : alioune.fayoume@gmail.com</w:t>
      </w:r>
    </w:p>
    <w:p>
      <w:pPr>
        <w:spacing w:after="140" w:line="300"/>
      </w:pPr>
      <w:r>
        <w:rPr>
          <w:color w:val="17202B"/>
          <w:sz w:val="21"/>
          <w:szCs w:val="21"/>
        </w:rPr>
        <w:t xml:space="preserve">Téléphone / WhatsApp : +221 77 778 69 80</w:t>
      </w:r>
    </w:p>
    <w:p>
      <w:pPr>
        <w:spacing w:after="140" w:line="300"/>
      </w:pPr>
      <w:r>
        <w:rPr>
          <w:color w:val="17202B"/>
          <w:sz w:val="21"/>
          <w:szCs w:val="21"/>
        </w:rPr>
        <w:t xml:space="preserve">Site web : https://massla.sn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2026-08-24T03:43:53.998Z</dcterms:created>
  <dcterms:modified xsi:type="dcterms:W3CDTF">2026-08-24T03:43:54.000Z</dcterms:modified>
</cp:coreProperties>
</file>

<file path=docProps/custom.xml><?xml version="1.0" encoding="utf-8"?>
<Properties xmlns="http://schemas.openxmlformats.org/officeDocument/2006/custom-properties" xmlns:vt="http://schemas.openxmlformats.org/officeDocument/2006/docPropsVTypes"/>
</file>