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2083D" w14:textId="6A0B1B19" w:rsidR="009C6D58" w:rsidRDefault="00EC759D">
      <w:r>
        <w:t>Le problème que nous présentons ici concerne la distribution du béton</w:t>
      </w:r>
      <w:r w:rsidR="00BB3751">
        <w:t xml:space="preserve"> qui est</w:t>
      </w:r>
      <w:r>
        <w:t xml:space="preserve"> </w:t>
      </w:r>
      <w:r w:rsidR="00BB3751">
        <w:rPr>
          <w:rFonts w:ascii="Arial" w:hAnsi="Arial" w:cs="Arial"/>
          <w:color w:val="000000"/>
          <w:sz w:val="23"/>
          <w:szCs w:val="23"/>
          <w:shd w:val="clear" w:color="auto" w:fill="FFFFFF"/>
        </w:rPr>
        <w:t>le matériau de construction le plus utilisé au monde</w:t>
      </w:r>
      <w:r w:rsidR="00BB3751">
        <w:t xml:space="preserve">. </w:t>
      </w:r>
      <w:r>
        <w:t>La construction représentait en 2014 6.6 % du PIB du Canada avec des millions d’emploi.</w:t>
      </w:r>
    </w:p>
    <w:p w14:paraId="23B4E0DB" w14:textId="1FC13EBB" w:rsidR="00EC759D" w:rsidRDefault="00EC759D"/>
    <w:p w14:paraId="71799C41" w14:textId="53905D01" w:rsidR="00EC759D" w:rsidRDefault="00EC759D">
      <w:r w:rsidRPr="00EC759D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88BF9" wp14:editId="230F8A16">
                <wp:simplePos x="0" y="0"/>
                <wp:positionH relativeFrom="margin">
                  <wp:posOffset>-596900</wp:posOffset>
                </wp:positionH>
                <wp:positionV relativeFrom="paragraph">
                  <wp:posOffset>309879</wp:posOffset>
                </wp:positionV>
                <wp:extent cx="7107969" cy="3526155"/>
                <wp:effectExtent l="0" t="0" r="0" b="0"/>
                <wp:wrapNone/>
                <wp:docPr id="8" name="TextBox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1C26AD-E90F-45BD-9125-04A571D0CB0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969" cy="35261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C78F22" w14:textId="77777777" w:rsidR="00BB3751" w:rsidRDefault="00BB3751" w:rsidP="00EC759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color w:val="154285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Ciment-Béton</w:t>
                            </w:r>
                          </w:p>
                          <w:p w14:paraId="40CAE5F1" w14:textId="77777777" w:rsidR="00BB3751" w:rsidRDefault="00BB3751" w:rsidP="00EC759D">
                            <w:r>
                              <w:rPr>
                                <w:rFonts w:ascii="Roboto" w:hAnsi="Roboto"/>
                                <w:color w:val="154285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14</w:t>
                            </w:r>
                          </w:p>
                          <w:p w14:paraId="42E4192E" w14:textId="77777777" w:rsidR="00BB3751" w:rsidRDefault="00BB3751" w:rsidP="00EC759D">
                            <w:r>
                              <w:rPr>
                                <w:rFonts w:ascii="Lato" w:hAnsi="Lato"/>
                                <w:color w:val="000000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Le nombre d’usines exploitées par les membres de l’ACC.</w:t>
                            </w:r>
                          </w:p>
                          <w:p w14:paraId="43A6D041" w14:textId="77777777" w:rsidR="00BB3751" w:rsidRDefault="00BB3751" w:rsidP="00EC759D">
                            <w:r>
                              <w:rPr>
                                <w:rFonts w:ascii="Roboto" w:hAnsi="Roboto"/>
                                <w:color w:val="154285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13 millions</w:t>
                            </w:r>
                          </w:p>
                          <w:p w14:paraId="71901F95" w14:textId="77777777" w:rsidR="00BB3751" w:rsidRDefault="00BB3751" w:rsidP="00EC759D">
                            <w:r>
                              <w:rPr>
                                <w:rFonts w:ascii="Lato" w:hAnsi="Lato"/>
                                <w:color w:val="000000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Le nombre de tonnes de ciment produit par les membres de l’ACC en 2014.</w:t>
                            </w:r>
                          </w:p>
                          <w:p w14:paraId="41188C64" w14:textId="77777777" w:rsidR="00BB3751" w:rsidRDefault="00BB3751" w:rsidP="00EC759D">
                            <w:r>
                              <w:rPr>
                                <w:rFonts w:ascii="Roboto" w:hAnsi="Roboto"/>
                                <w:color w:val="154285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1,6 milliard $</w:t>
                            </w:r>
                          </w:p>
                          <w:p w14:paraId="65CEBC81" w14:textId="77777777" w:rsidR="00BB3751" w:rsidRDefault="00BB3751" w:rsidP="00EC759D">
                            <w:r>
                              <w:rPr>
                                <w:rFonts w:ascii="Lato" w:hAnsi="Lato"/>
                                <w:color w:val="000000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L’équivalent en dollars de la production Canadienne de ciment en 2014.</w:t>
                            </w:r>
                          </w:p>
                          <w:p w14:paraId="47229B72" w14:textId="77777777" w:rsidR="00BB3751" w:rsidRDefault="00BB3751" w:rsidP="00EC759D">
                            <w:r>
                              <w:rPr>
                                <w:rFonts w:ascii="Roboto" w:hAnsi="Roboto"/>
                                <w:color w:val="154285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460 millions $</w:t>
                            </w:r>
                          </w:p>
                          <w:p w14:paraId="15B2448D" w14:textId="77777777" w:rsidR="00BB3751" w:rsidRDefault="00BB3751" w:rsidP="00EC759D">
                            <w:r>
                              <w:rPr>
                                <w:rFonts w:ascii="Lato" w:hAnsi="Lato"/>
                                <w:color w:val="000000"/>
                                <w:kern w:val="24"/>
                                <w:sz w:val="36"/>
                                <w:szCs w:val="36"/>
                                <w:lang w:val="fr-FR"/>
                              </w:rPr>
                              <w:t>L’équivalant en dollars des exportations de ciment, principalement aux États-Unis, en 2015.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88BF9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-47pt;margin-top:24.4pt;width:559.7pt;height:277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" filled="f" stroked="f">
                <v:textbox>
                  <w:txbxContent>
                    <w:p w14:paraId="56C78F22" w14:textId="77777777" w:rsidR="00BB3751" w:rsidRDefault="00BB3751" w:rsidP="00EC759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/>
                          <w:color w:val="154285"/>
                          <w:kern w:val="24"/>
                          <w:sz w:val="36"/>
                          <w:szCs w:val="36"/>
                          <w:lang w:val="fr-FR"/>
                        </w:rPr>
                        <w:t>Ciment-Béton</w:t>
                      </w:r>
                    </w:p>
                    <w:p w14:paraId="40CAE5F1" w14:textId="77777777" w:rsidR="00BB3751" w:rsidRDefault="00BB3751" w:rsidP="00EC759D">
                      <w:r>
                        <w:rPr>
                          <w:rFonts w:ascii="Roboto" w:hAnsi="Roboto"/>
                          <w:color w:val="154285"/>
                          <w:kern w:val="24"/>
                          <w:sz w:val="36"/>
                          <w:szCs w:val="36"/>
                          <w:lang w:val="fr-FR"/>
                        </w:rPr>
                        <w:t>14</w:t>
                      </w:r>
                    </w:p>
                    <w:p w14:paraId="42E4192E" w14:textId="77777777" w:rsidR="00BB3751" w:rsidRDefault="00BB3751" w:rsidP="00EC759D">
                      <w:r>
                        <w:rPr>
                          <w:rFonts w:ascii="Lato" w:hAnsi="Lato"/>
                          <w:color w:val="000000"/>
                          <w:kern w:val="24"/>
                          <w:sz w:val="36"/>
                          <w:szCs w:val="36"/>
                          <w:lang w:val="fr-FR"/>
                        </w:rPr>
                        <w:t>Le nombre d’usines exploitées par les membres de l’ACC.</w:t>
                      </w:r>
                    </w:p>
                    <w:p w14:paraId="43A6D041" w14:textId="77777777" w:rsidR="00BB3751" w:rsidRDefault="00BB3751" w:rsidP="00EC759D">
                      <w:r>
                        <w:rPr>
                          <w:rFonts w:ascii="Roboto" w:hAnsi="Roboto"/>
                          <w:color w:val="154285"/>
                          <w:kern w:val="24"/>
                          <w:sz w:val="36"/>
                          <w:szCs w:val="36"/>
                          <w:lang w:val="fr-FR"/>
                        </w:rPr>
                        <w:t>13 millions</w:t>
                      </w:r>
                    </w:p>
                    <w:p w14:paraId="71901F95" w14:textId="77777777" w:rsidR="00BB3751" w:rsidRDefault="00BB3751" w:rsidP="00EC759D">
                      <w:r>
                        <w:rPr>
                          <w:rFonts w:ascii="Lato" w:hAnsi="Lato"/>
                          <w:color w:val="000000"/>
                          <w:kern w:val="24"/>
                          <w:sz w:val="36"/>
                          <w:szCs w:val="36"/>
                          <w:lang w:val="fr-FR"/>
                        </w:rPr>
                        <w:t>Le nombre de tonnes de ciment produit par les membres de l’ACC en 2014.</w:t>
                      </w:r>
                    </w:p>
                    <w:p w14:paraId="41188C64" w14:textId="77777777" w:rsidR="00BB3751" w:rsidRDefault="00BB3751" w:rsidP="00EC759D">
                      <w:r>
                        <w:rPr>
                          <w:rFonts w:ascii="Roboto" w:hAnsi="Roboto"/>
                          <w:color w:val="154285"/>
                          <w:kern w:val="24"/>
                          <w:sz w:val="36"/>
                          <w:szCs w:val="36"/>
                          <w:lang w:val="fr-FR"/>
                        </w:rPr>
                        <w:t>1,6 milliard $</w:t>
                      </w:r>
                    </w:p>
                    <w:p w14:paraId="65CEBC81" w14:textId="77777777" w:rsidR="00BB3751" w:rsidRDefault="00BB3751" w:rsidP="00EC759D">
                      <w:r>
                        <w:rPr>
                          <w:rFonts w:ascii="Lato" w:hAnsi="Lato"/>
                          <w:color w:val="000000"/>
                          <w:kern w:val="24"/>
                          <w:sz w:val="36"/>
                          <w:szCs w:val="36"/>
                          <w:lang w:val="fr-FR"/>
                        </w:rPr>
                        <w:t>L’équivalent en dollars de la production Canadienne de ciment en 2014.</w:t>
                      </w:r>
                    </w:p>
                    <w:p w14:paraId="47229B72" w14:textId="77777777" w:rsidR="00BB3751" w:rsidRDefault="00BB3751" w:rsidP="00EC759D">
                      <w:r>
                        <w:rPr>
                          <w:rFonts w:ascii="Roboto" w:hAnsi="Roboto"/>
                          <w:color w:val="154285"/>
                          <w:kern w:val="24"/>
                          <w:sz w:val="36"/>
                          <w:szCs w:val="36"/>
                          <w:lang w:val="fr-FR"/>
                        </w:rPr>
                        <w:t>460 millions $</w:t>
                      </w:r>
                    </w:p>
                    <w:p w14:paraId="15B2448D" w14:textId="77777777" w:rsidR="00BB3751" w:rsidRDefault="00BB3751" w:rsidP="00EC759D">
                      <w:r>
                        <w:rPr>
                          <w:rFonts w:ascii="Lato" w:hAnsi="Lato"/>
                          <w:color w:val="000000"/>
                          <w:kern w:val="24"/>
                          <w:sz w:val="36"/>
                          <w:szCs w:val="36"/>
                          <w:lang w:val="fr-FR"/>
                        </w:rPr>
                        <w:t>L’équivalant en dollars des exportations de ciment, principalement aux États-Unis, en 2015.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La production et distribution de Ciment et béton </w:t>
      </w:r>
    </w:p>
    <w:p w14:paraId="2FDC5C49" w14:textId="26313912" w:rsidR="00EC759D" w:rsidRDefault="00EC759D"/>
    <w:p w14:paraId="49674187" w14:textId="47B13D9E" w:rsidR="00EC759D" w:rsidRDefault="00EC759D"/>
    <w:p w14:paraId="7595BB06" w14:textId="0C34D336" w:rsidR="00EC759D" w:rsidRDefault="00EC759D"/>
    <w:p w14:paraId="6197862C" w14:textId="0D0331BC" w:rsidR="00EC759D" w:rsidRDefault="00EC759D"/>
    <w:p w14:paraId="4E97B46A" w14:textId="2CF12C69" w:rsidR="00EC759D" w:rsidRDefault="00EC759D"/>
    <w:p w14:paraId="3B41932F" w14:textId="5DB84026" w:rsidR="00EC759D" w:rsidRDefault="00EC759D"/>
    <w:p w14:paraId="0081D5FD" w14:textId="0FFAF8C5" w:rsidR="00EC759D" w:rsidRDefault="00EC759D"/>
    <w:p w14:paraId="2A265757" w14:textId="1BF1654F" w:rsidR="00EC759D" w:rsidRDefault="00EC759D"/>
    <w:p w14:paraId="16C8487A" w14:textId="1C913811" w:rsidR="00EC759D" w:rsidRDefault="00EC759D"/>
    <w:p w14:paraId="0A20A7CD" w14:textId="21D22779" w:rsidR="00EC759D" w:rsidRDefault="00EC759D"/>
    <w:p w14:paraId="16410D70" w14:textId="58AD2D8F" w:rsidR="00EC759D" w:rsidRDefault="00EC759D"/>
    <w:p w14:paraId="06B99B0F" w14:textId="197E50FD" w:rsidR="00EC759D" w:rsidRDefault="00EC759D"/>
    <w:p w14:paraId="1DF5B8C7" w14:textId="76BE6CFA" w:rsidR="00EC759D" w:rsidRDefault="00EC759D"/>
    <w:p w14:paraId="42930141" w14:textId="4FDA025E" w:rsidR="00BB3751" w:rsidRDefault="00EC759D">
      <w:r>
        <w:t>Ce projet est étudié en collaboration avec</w:t>
      </w:r>
      <w:r w:rsidR="00BB3751">
        <w:t xml:space="preserve"> la division </w:t>
      </w:r>
      <w:proofErr w:type="spellStart"/>
      <w:r w:rsidR="00BB3751">
        <w:t>Unibéton</w:t>
      </w:r>
      <w:proofErr w:type="spellEnd"/>
      <w:r w:rsidR="00BB3751">
        <w:t xml:space="preserve"> de </w:t>
      </w:r>
      <w:r>
        <w:t xml:space="preserve">Ciment Québec Inc. (CQI) qui produit et exploite le ciment et béton </w:t>
      </w:r>
      <w:r w:rsidR="00BB3751" w:rsidRPr="00BB3751">
        <w:t>au Canada et aux Etats-Unis, plus particulièrement dans les provinces du Québec, des Maritimes et de l’Ontario ainsi que dans les États du Vermont, du New Hampshire, du Massachussetts, du Maine et du Rhode Island.</w:t>
      </w:r>
      <w:r w:rsidR="00BB3751">
        <w:t xml:space="preserve"> </w:t>
      </w:r>
    </w:p>
    <w:p w14:paraId="591C755B" w14:textId="1EA26F8A" w:rsidR="00BB3751" w:rsidRDefault="00BB3751">
      <w:r w:rsidRPr="00BB3751">
        <w:drawing>
          <wp:inline distT="0" distB="0" distL="0" distR="0" wp14:anchorId="589DBE59" wp14:editId="369C4588">
            <wp:extent cx="4521432" cy="23051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BB31" w14:textId="686B0357" w:rsidR="00EC759D" w:rsidRDefault="00EC759D"/>
    <w:p w14:paraId="335ABA35" w14:textId="586FD117" w:rsidR="00BB3751" w:rsidRDefault="00BB375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Unibéton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vend du béton en quantité suivante </w:t>
      </w:r>
      <w:r w:rsidRPr="00BB3751">
        <w:rPr>
          <w:rFonts w:ascii="Arial" w:hAnsi="Arial" w:cs="Arial"/>
          <w:color w:val="000000"/>
          <w:sz w:val="23"/>
          <w:szCs w:val="23"/>
          <w:shd w:val="clear" w:color="auto" w:fill="FFFFFF"/>
        </w:rPr>
        <w:t>prêt à l’emploi en sacs de 30 kg ou de 40 Kg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Pour une </w:t>
      </w:r>
      <w:r w:rsidR="00EC759D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quantité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plus </w:t>
      </w:r>
      <w:r w:rsidR="00EC759D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importante de béton,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les commandes sont livrées par des bétonnières ou camion malaxeur à béton.</w:t>
      </w:r>
    </w:p>
    <w:p w14:paraId="54B54F39" w14:textId="18FF1BC0" w:rsidR="0076196E" w:rsidRDefault="0076196E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Plusieurs tailles différentes de bétonnières sont utilisées</w:t>
      </w:r>
    </w:p>
    <w:p w14:paraId="0DD8648D" w14:textId="112C44D2" w:rsidR="0076196E" w:rsidRDefault="0076196E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76196E">
        <w:rPr>
          <w:rFonts w:ascii="Arial" w:hAnsi="Arial" w:cs="Arial"/>
          <w:color w:val="000000"/>
          <w:sz w:val="23"/>
          <w:szCs w:val="23"/>
          <w:shd w:val="clear" w:color="auto" w:fill="FFFFFF"/>
        </w:rPr>
        <w:drawing>
          <wp:inline distT="0" distB="0" distL="0" distR="0" wp14:anchorId="3B56707B" wp14:editId="7E25F4C6">
            <wp:extent cx="5600988" cy="28893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ED8D" w14:textId="42EA846F" w:rsidR="0076196E" w:rsidRDefault="0076196E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76196E">
        <w:rPr>
          <w:rFonts w:ascii="Arial" w:hAnsi="Arial" w:cs="Arial"/>
          <w:color w:val="000000"/>
          <w:sz w:val="23"/>
          <w:szCs w:val="23"/>
          <w:shd w:val="clear" w:color="auto" w:fill="FFFFFF"/>
        </w:rPr>
        <w:drawing>
          <wp:inline distT="0" distB="0" distL="0" distR="0" wp14:anchorId="39E77BDA" wp14:editId="008738C2">
            <wp:extent cx="4845299" cy="28004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17D0" w14:textId="0AB2A608" w:rsidR="00EC759D" w:rsidRDefault="00EC759D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2983E80" w14:textId="25A273D1" w:rsidR="0091051B" w:rsidRDefault="0091051B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441DF0F" w14:textId="3EC0BABA" w:rsidR="0091051B" w:rsidRDefault="0091051B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Unibéton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produit plusieurs types de béton pour des besoins spécifiques.</w:t>
      </w:r>
    </w:p>
    <w:p w14:paraId="02C856E1" w14:textId="5AB99907" w:rsidR="0091051B" w:rsidRDefault="0091051B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1051B" w14:paraId="5FEB2FDF" w14:textId="77777777" w:rsidTr="0091051B">
        <w:tc>
          <w:tcPr>
            <w:tcW w:w="4698" w:type="dxa"/>
          </w:tcPr>
          <w:p w14:paraId="15949CF5" w14:textId="3A09AAA1" w:rsidR="0091051B" w:rsidRDefault="00E42C57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lastRenderedPageBreak/>
              <w:t>Nom</w:t>
            </w:r>
          </w:p>
        </w:tc>
        <w:tc>
          <w:tcPr>
            <w:tcW w:w="4698" w:type="dxa"/>
          </w:tcPr>
          <w:p w14:paraId="01561EE0" w14:textId="49EE9C6C" w:rsidR="0091051B" w:rsidRDefault="00E42C57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Utilisation</w:t>
            </w:r>
          </w:p>
        </w:tc>
      </w:tr>
      <w:tr w:rsidR="0091051B" w14:paraId="579E2BA8" w14:textId="77777777" w:rsidTr="0091051B">
        <w:tc>
          <w:tcPr>
            <w:tcW w:w="4698" w:type="dxa"/>
          </w:tcPr>
          <w:p w14:paraId="5C985634" w14:textId="502C0DA5" w:rsidR="0091051B" w:rsidRDefault="00E42C57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>UNISOLANT™</w:t>
            </w:r>
          </w:p>
        </w:tc>
        <w:tc>
          <w:tcPr>
            <w:tcW w:w="4698" w:type="dxa"/>
          </w:tcPr>
          <w:p w14:paraId="5B2FE62D" w14:textId="45145C37" w:rsidR="0091051B" w:rsidRDefault="00E42C57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>Béton pour coffrage isolant</w:t>
            </w:r>
          </w:p>
        </w:tc>
      </w:tr>
      <w:tr w:rsidR="0091051B" w14:paraId="446C5957" w14:textId="77777777" w:rsidTr="0091051B">
        <w:tc>
          <w:tcPr>
            <w:tcW w:w="4698" w:type="dxa"/>
          </w:tcPr>
          <w:p w14:paraId="69FDA7AB" w14:textId="2181F874" w:rsidR="0091051B" w:rsidRDefault="00E42C57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>UNIGEL</w:t>
            </w:r>
          </w:p>
        </w:tc>
        <w:tc>
          <w:tcPr>
            <w:tcW w:w="4698" w:type="dxa"/>
          </w:tcPr>
          <w:p w14:paraId="43162A94" w14:textId="343ED159" w:rsidR="0091051B" w:rsidRDefault="00E42C57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>Béton pour temps froid </w:t>
            </w:r>
          </w:p>
        </w:tc>
      </w:tr>
      <w:tr w:rsidR="0091051B" w14:paraId="69268E35" w14:textId="77777777" w:rsidTr="0091051B">
        <w:tc>
          <w:tcPr>
            <w:tcW w:w="4698" w:type="dxa"/>
          </w:tcPr>
          <w:p w14:paraId="0BAC35D3" w14:textId="3F63CCE7" w:rsidR="0091051B" w:rsidRDefault="00E42C57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>UNIPLAN™</w:t>
            </w:r>
          </w:p>
        </w:tc>
        <w:tc>
          <w:tcPr>
            <w:tcW w:w="4698" w:type="dxa"/>
          </w:tcPr>
          <w:p w14:paraId="6899A39C" w14:textId="27ECB837" w:rsidR="0091051B" w:rsidRDefault="00E42C57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 xml:space="preserve">Béton pour dalles sur sol résidentielles </w:t>
            </w:r>
          </w:p>
        </w:tc>
      </w:tr>
      <w:tr w:rsidR="00E42C57" w14:paraId="67DBD1E8" w14:textId="77777777" w:rsidTr="0091051B">
        <w:tc>
          <w:tcPr>
            <w:tcW w:w="4698" w:type="dxa"/>
          </w:tcPr>
          <w:p w14:paraId="27A8FC4A" w14:textId="6C728864" w:rsidR="00E42C57" w:rsidRDefault="00E42C57">
            <w:pP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>AGRIMIX</w:t>
            </w:r>
          </w:p>
        </w:tc>
        <w:tc>
          <w:tcPr>
            <w:tcW w:w="4698" w:type="dxa"/>
          </w:tcPr>
          <w:p w14:paraId="18E36D11" w14:textId="6A42270A" w:rsidR="00E42C57" w:rsidRDefault="00E42C57">
            <w:pP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>Béton agricole </w:t>
            </w:r>
          </w:p>
        </w:tc>
      </w:tr>
      <w:tr w:rsidR="00E42C57" w14:paraId="4298F91E" w14:textId="77777777" w:rsidTr="0091051B">
        <w:tc>
          <w:tcPr>
            <w:tcW w:w="4698" w:type="dxa"/>
          </w:tcPr>
          <w:p w14:paraId="0133D2E1" w14:textId="53CCE961" w:rsidR="00E42C57" w:rsidRDefault="00E42C57">
            <w:pP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>UNIFLOW</w:t>
            </w:r>
          </w:p>
        </w:tc>
        <w:tc>
          <w:tcPr>
            <w:tcW w:w="4698" w:type="dxa"/>
          </w:tcPr>
          <w:p w14:paraId="3C2DC2DA" w14:textId="03830113" w:rsidR="00E42C57" w:rsidRDefault="00E42C57">
            <w:pP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Roboto" w:hAnsi="Roboto"/>
                <w:color w:val="000000"/>
                <w:sz w:val="23"/>
                <w:szCs w:val="23"/>
                <w:shd w:val="clear" w:color="auto" w:fill="FFFFFF"/>
              </w:rPr>
              <w:t xml:space="preserve">Béton autoplaçant </w:t>
            </w:r>
          </w:p>
        </w:tc>
      </w:tr>
    </w:tbl>
    <w:p w14:paraId="1D309097" w14:textId="77777777" w:rsidR="0091051B" w:rsidRDefault="0091051B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B370A14" w14:textId="277AB2B3" w:rsidR="0091051B" w:rsidRDefault="0091051B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92636CC" w14:textId="5D9644EA" w:rsidR="00261CAA" w:rsidRDefault="005E1744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Flow chart des opérations</w:t>
      </w:r>
    </w:p>
    <w:p w14:paraId="68DEB1F4" w14:textId="425DBB87" w:rsidR="00AD1348" w:rsidRDefault="00AD1348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0EFF460" w14:textId="441C14CF" w:rsidR="00AD1348" w:rsidRDefault="00557D0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04572657" wp14:editId="2C223D26">
            <wp:extent cx="5778797" cy="3651438"/>
            <wp:effectExtent l="0" t="0" r="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9DFA" w14:textId="152E4728" w:rsidR="00261CAA" w:rsidRDefault="00261CAA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B6C7A03" w14:textId="285B5C98" w:rsidR="00261CAA" w:rsidRDefault="008D7B1D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Contraintes</w:t>
      </w:r>
    </w:p>
    <w:p w14:paraId="19CAA1D2" w14:textId="0DAEB49B" w:rsidR="00261CAA" w:rsidRDefault="00261CAA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18275CF" w14:textId="77777777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t>Nature du produit</w:t>
      </w:r>
    </w:p>
    <w:p w14:paraId="64EE67D4" w14:textId="77777777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t>Plusieurs types de béton</w:t>
      </w:r>
    </w:p>
    <w:p w14:paraId="291223DB" w14:textId="77777777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t>Différents temps de chargement</w:t>
      </w:r>
    </w:p>
    <w:p w14:paraId="37F65B5B" w14:textId="77777777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t>Différents temps de déchargement</w:t>
      </w:r>
    </w:p>
    <w:p w14:paraId="011B80E3" w14:textId="77777777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Opération de refroidissement </w:t>
      </w:r>
    </w:p>
    <w:p w14:paraId="172C3B3E" w14:textId="77777777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lastRenderedPageBreak/>
        <w:t>Déplacement sur le chantier</w:t>
      </w:r>
    </w:p>
    <w:p w14:paraId="16E96489" w14:textId="77777777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t>Attente sur le chantier pour le déchargement</w:t>
      </w:r>
    </w:p>
    <w:p w14:paraId="12C2A4CA" w14:textId="77777777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t>Multiples voyages pour servir le client</w:t>
      </w:r>
    </w:p>
    <w:p w14:paraId="5038A060" w14:textId="5781E31F" w:rsidR="00261CAA" w:rsidRPr="00261CAA" w:rsidRDefault="00261CAA" w:rsidP="00261CAA">
      <w:pPr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61CAA">
        <w:rPr>
          <w:rFonts w:ascii="Arial" w:hAnsi="Arial" w:cs="Arial"/>
          <w:color w:val="000000"/>
          <w:sz w:val="23"/>
          <w:szCs w:val="23"/>
          <w:shd w:val="clear" w:color="auto" w:fill="FFFFFF"/>
        </w:rPr>
        <w:t>Livraison à une heure donnée (Pas avant pas après)</w:t>
      </w:r>
    </w:p>
    <w:p w14:paraId="02536472" w14:textId="38909B05" w:rsidR="00261CAA" w:rsidRDefault="00261CAA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D9A8607" w14:textId="77777777" w:rsidR="00557D0C" w:rsidRPr="00557D0C" w:rsidRDefault="00557D0C" w:rsidP="00557D0C">
      <w:pPr>
        <w:numPr>
          <w:ilvl w:val="0"/>
          <w:numId w:val="3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proofErr w:type="spellStart"/>
      <w:r w:rsidRPr="00557D0C">
        <w:rPr>
          <w:rFonts w:ascii="Arial" w:hAnsi="Arial" w:cs="Arial"/>
          <w:color w:val="000000"/>
          <w:sz w:val="23"/>
          <w:szCs w:val="23"/>
          <w:shd w:val="clear" w:color="auto" w:fill="FFFFFF"/>
        </w:rPr>
        <w:t>Literature</w:t>
      </w:r>
      <w:proofErr w:type="spellEnd"/>
      <w:r w:rsidRPr="00557D0C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557D0C">
        <w:rPr>
          <w:rFonts w:ascii="Arial" w:hAnsi="Arial" w:cs="Arial"/>
          <w:color w:val="000000"/>
          <w:sz w:val="23"/>
          <w:szCs w:val="23"/>
          <w:shd w:val="clear" w:color="auto" w:fill="FFFFFF"/>
        </w:rPr>
        <w:t>review</w:t>
      </w:r>
      <w:proofErr w:type="spellEnd"/>
    </w:p>
    <w:p w14:paraId="1E97DBD8" w14:textId="2CF2F5A7" w:rsidR="00557D0C" w:rsidRDefault="00557D0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FC6D5E4" w14:textId="5C316E55" w:rsidR="00557D0C" w:rsidRDefault="00557D0C">
      <w:pPr>
        <w:rPr>
          <w:rFonts w:ascii="Arial" w:hAnsi="Arial" w:cs="Arial"/>
          <w:b/>
          <w:bCs/>
          <w:sz w:val="29"/>
          <w:szCs w:val="29"/>
          <w:lang w:val="en-CA"/>
        </w:rPr>
      </w:pPr>
      <w:r w:rsidRPr="00557D0C">
        <w:rPr>
          <w:rFonts w:ascii="Arial" w:hAnsi="Arial" w:cs="Arial"/>
          <w:b/>
          <w:bCs/>
          <w:sz w:val="29"/>
          <w:szCs w:val="29"/>
          <w:lang w:val="en-CA"/>
        </w:rPr>
        <w:t>A Classification Scheme for Vehicle Routing and Scheduling Problems</w:t>
      </w:r>
    </w:p>
    <w:p w14:paraId="6F628B38" w14:textId="24F3E15F" w:rsidR="00D30285" w:rsidRDefault="00D30285">
      <w:pPr>
        <w:rPr>
          <w:rFonts w:ascii="Arial" w:hAnsi="Arial" w:cs="Arial"/>
          <w:b/>
          <w:bCs/>
          <w:sz w:val="29"/>
          <w:szCs w:val="29"/>
          <w:lang w:val="en-CA"/>
        </w:rPr>
      </w:pPr>
      <w:r>
        <w:rPr>
          <w:rFonts w:ascii="Arial" w:hAnsi="Arial" w:cs="Arial"/>
          <w:b/>
          <w:bCs/>
          <w:sz w:val="29"/>
          <w:szCs w:val="29"/>
          <w:lang w:val="en-CA"/>
        </w:rPr>
        <w:t>Desrochers et al.</w:t>
      </w:r>
    </w:p>
    <w:p w14:paraId="3B19B53B" w14:textId="644A695B" w:rsidR="008C6321" w:rsidRDefault="008C6321">
      <w:pPr>
        <w:rPr>
          <w:rFonts w:ascii="Arial" w:hAnsi="Arial" w:cs="Arial"/>
          <w:b/>
          <w:bCs/>
          <w:sz w:val="29"/>
          <w:szCs w:val="29"/>
          <w:lang w:val="en-CA"/>
        </w:rPr>
      </w:pPr>
    </w:p>
    <w:p w14:paraId="341263CD" w14:textId="77777777" w:rsidR="008C6321" w:rsidRPr="008C6321" w:rsidRDefault="008C6321" w:rsidP="008C6321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8C6321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For each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 </w:t>
      </w:r>
      <w:r w:rsidRPr="008C6321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vehicle or driver, a route and a schedule </w:t>
      </w:r>
      <w:proofErr w:type="gramStart"/>
      <w:r w:rsidRPr="008C6321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is</w:t>
      </w:r>
      <w:proofErr w:type="gramEnd"/>
      <w:r w:rsidRPr="008C6321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 pro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v</w:t>
      </w:r>
      <w:r w:rsidRPr="008C6321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ided.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 </w:t>
      </w:r>
      <w:r w:rsidRPr="008C6321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Generally, the route specifies the sequence</w:t>
      </w:r>
    </w:p>
    <w:p w14:paraId="408B8E55" w14:textId="77777777" w:rsidR="008C6321" w:rsidRPr="008C6321" w:rsidRDefault="008C6321" w:rsidP="008C6321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8C6321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of locations to be visited and the schedule identifies the times at which the activities at these</w:t>
      </w:r>
    </w:p>
    <w:p w14:paraId="15B8A87F" w14:textId="51DC62D1" w:rsidR="008C6321" w:rsidRDefault="008C6321" w:rsidP="008C6321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8C6321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locations are to be carried out.</w:t>
      </w:r>
    </w:p>
    <w:p w14:paraId="1DDEA42C" w14:textId="47C9D2F7" w:rsidR="00832602" w:rsidRDefault="00832602" w:rsidP="008C6321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</w:p>
    <w:p w14:paraId="24AF3057" w14:textId="67F8CDD7" w:rsidR="00832602" w:rsidRDefault="00832602" w:rsidP="008C6321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Crew scheduling problem</w:t>
      </w:r>
    </w:p>
    <w:p w14:paraId="0E619604" w14:textId="77777777" w:rsidR="00832602" w:rsidRPr="00832602" w:rsidRDefault="00832602" w:rsidP="00832602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832602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In crew scheduling, the primary concern is to sequence the movements of a crew in space</w:t>
      </w:r>
    </w:p>
    <w:p w14:paraId="50C4D365" w14:textId="77777777" w:rsidR="00832602" w:rsidRPr="00832602" w:rsidRDefault="00832602" w:rsidP="00832602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832602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and time </w:t>
      </w:r>
      <w:proofErr w:type="gramStart"/>
      <w:r w:rsidRPr="00832602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so as to</w:t>
      </w:r>
      <w:proofErr w:type="gramEnd"/>
      <w:r w:rsidRPr="00832602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 staff the desired vehicle movements. While crew scheduling problems are</w:t>
      </w:r>
    </w:p>
    <w:p w14:paraId="4EFD9210" w14:textId="3D931A4C" w:rsidR="00832602" w:rsidRDefault="00832602" w:rsidP="00832602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832602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essentially </w:t>
      </w:r>
      <w:proofErr w:type="gramStart"/>
      <w:r w:rsidRPr="00832602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similar to</w:t>
      </w:r>
      <w:proofErr w:type="gramEnd"/>
      <w:r w:rsidRPr="00832602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 vehicle scheduling problems, the former generally involve more complicated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 xml:space="preserve"> </w:t>
      </w:r>
      <w:r w:rsidRPr="00832602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restrictions, such as requirements for crew lunch breaks, union regulations</w:t>
      </w:r>
    </w:p>
    <w:p w14:paraId="4F64991F" w14:textId="615306FD" w:rsidR="00CB0FFE" w:rsidRDefault="00CB0FFE" w:rsidP="00832602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</w:p>
    <w:p w14:paraId="6862B218" w14:textId="77777777" w:rsidR="00CB0FFE" w:rsidRP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*the single depot vehicle scheduling problem</w:t>
      </w:r>
    </w:p>
    <w:p w14:paraId="2D5730CA" w14:textId="77777777" w:rsidR="00CB0FFE" w:rsidRP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*the single depot vehicle scheduling problem with length of path restrictions</w:t>
      </w:r>
    </w:p>
    <w:p w14:paraId="04F788B5" w14:textId="77777777" w:rsidR="00CB0FFE" w:rsidRP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*the single depot vehicle scheduling problem with multiple vehicle types</w:t>
      </w:r>
    </w:p>
    <w:p w14:paraId="27443AA2" w14:textId="77777777" w:rsidR="00CB0FFE" w:rsidRP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*the multiple depot vehicle scheduling problem</w:t>
      </w:r>
    </w:p>
    <w:p w14:paraId="7F8A1923" w14:textId="77777777" w:rsidR="00CB0FFE" w:rsidRP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*the fixed location worker scheduling problem</w:t>
      </w:r>
    </w:p>
    <w:p w14:paraId="6FF34E12" w14:textId="77777777" w:rsidR="00CB0FFE" w:rsidRP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*the mass transit crew/vehicle scheduling problem</w:t>
      </w:r>
    </w:p>
    <w:p w14:paraId="6406FA34" w14:textId="77777777" w:rsidR="00CB0FFE" w:rsidRP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*the air crew scheduling problem</w:t>
      </w:r>
    </w:p>
    <w:p w14:paraId="493FF1C0" w14:textId="3B375123" w:rsid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*the rostering and bid line problems.</w:t>
      </w:r>
    </w:p>
    <w:p w14:paraId="543079DD" w14:textId="62BFFE6E" w:rsid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</w:p>
    <w:p w14:paraId="7A90B86B" w14:textId="1CFFE7BF" w:rsidR="00CB0FFE" w:rsidRDefault="00CB0FFE" w:rsidP="00CB0FFE">
      <w:p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</w:p>
    <w:p w14:paraId="206A3C11" w14:textId="6ADCBCA4" w:rsidR="00CB0FFE" w:rsidRDefault="00CB0FFE" w:rsidP="00CB0FFE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</w:pPr>
      <w:r w:rsidRPr="00CB0FFE">
        <w:rPr>
          <w:rFonts w:ascii="Arial" w:hAnsi="Arial" w:cs="Arial"/>
          <w:color w:val="000000"/>
          <w:sz w:val="23"/>
          <w:szCs w:val="23"/>
          <w:shd w:val="clear" w:color="auto" w:fill="FFFFFF"/>
          <w:lang w:val="en-CA"/>
        </w:rPr>
        <w:t>Vehicle scheduling problem with length of path restrictions (VSPLPR)</w:t>
      </w:r>
    </w:p>
    <w:p w14:paraId="48C745C9" w14:textId="1F7620E0" w:rsidR="007817A3" w:rsidRPr="007817A3" w:rsidRDefault="007817A3" w:rsidP="007817A3">
      <w:pPr>
        <w:rPr>
          <w:shd w:val="clear" w:color="auto" w:fill="FFFFFF"/>
          <w:lang w:val="en-CA"/>
        </w:rPr>
      </w:pPr>
      <w:r w:rsidRPr="007817A3">
        <w:rPr>
          <w:shd w:val="clear" w:color="auto" w:fill="FFFFFF"/>
          <w:lang w:val="en-CA"/>
        </w:rPr>
        <w:t>constraints are</w:t>
      </w:r>
      <w:r>
        <w:rPr>
          <w:shd w:val="clear" w:color="auto" w:fill="FFFFFF"/>
          <w:lang w:val="en-CA"/>
        </w:rPr>
        <w:t xml:space="preserve"> </w:t>
      </w:r>
      <w:r w:rsidRPr="007817A3">
        <w:rPr>
          <w:shd w:val="clear" w:color="auto" w:fill="FFFFFF"/>
          <w:lang w:val="en-CA"/>
        </w:rPr>
        <w:t>placed on the length of time a vehicle may spend away from the depot or the mileage a vehicle</w:t>
      </w:r>
      <w:r>
        <w:rPr>
          <w:shd w:val="clear" w:color="auto" w:fill="FFFFFF"/>
          <w:lang w:val="en-CA"/>
        </w:rPr>
        <w:t xml:space="preserve"> </w:t>
      </w:r>
      <w:r w:rsidRPr="007817A3">
        <w:rPr>
          <w:shd w:val="clear" w:color="auto" w:fill="FFFFFF"/>
          <w:lang w:val="en-CA"/>
        </w:rPr>
        <w:t>may cover without returning to the depot for service. This constraint commonly encountered in</w:t>
      </w:r>
    </w:p>
    <w:p w14:paraId="313DC196" w14:textId="11D7ECF2" w:rsidR="007817A3" w:rsidRDefault="007817A3" w:rsidP="007817A3">
      <w:pPr>
        <w:rPr>
          <w:shd w:val="clear" w:color="auto" w:fill="FFFFFF"/>
          <w:lang w:val="en-CA"/>
        </w:rPr>
      </w:pPr>
      <w:r w:rsidRPr="007817A3">
        <w:rPr>
          <w:shd w:val="clear" w:color="auto" w:fill="FFFFFF"/>
          <w:lang w:val="en-CA"/>
        </w:rPr>
        <w:t>practice corresponds to fuel restrictions, maintenance considerations, etc.</w:t>
      </w:r>
    </w:p>
    <w:p w14:paraId="23A9C2E7" w14:textId="544F0D81" w:rsidR="007817A3" w:rsidRPr="007817A3" w:rsidRDefault="007817A3" w:rsidP="007817A3">
      <w:pPr>
        <w:pStyle w:val="ListParagraph"/>
        <w:numPr>
          <w:ilvl w:val="0"/>
          <w:numId w:val="4"/>
        </w:numPr>
        <w:rPr>
          <w:shd w:val="clear" w:color="auto" w:fill="FFFFFF"/>
          <w:lang w:val="en-CA"/>
        </w:rPr>
      </w:pPr>
      <w:r w:rsidRPr="007817A3">
        <w:rPr>
          <w:rFonts w:ascii="Book Antiqua" w:hAnsi="Book Antiqua" w:cs="Book Antiqua"/>
          <w:i/>
          <w:iCs/>
          <w:sz w:val="17"/>
          <w:szCs w:val="17"/>
          <w:lang w:val="en-CA"/>
        </w:rPr>
        <w:t xml:space="preserve">Vehicle scheduling problem with multiple vehicle types </w:t>
      </w:r>
      <w:proofErr w:type="gramStart"/>
      <w:r w:rsidRPr="007817A3">
        <w:rPr>
          <w:rFonts w:ascii="Arial" w:hAnsi="Arial" w:cs="Arial"/>
          <w:sz w:val="17"/>
          <w:szCs w:val="17"/>
          <w:lang w:val="en-CA"/>
        </w:rPr>
        <w:t xml:space="preserve">( </w:t>
      </w:r>
      <w:r w:rsidRPr="007817A3">
        <w:rPr>
          <w:rFonts w:ascii="Book Antiqua" w:hAnsi="Book Antiqua" w:cs="Book Antiqua"/>
          <w:i/>
          <w:iCs/>
          <w:sz w:val="17"/>
          <w:szCs w:val="17"/>
          <w:lang w:val="en-CA"/>
        </w:rPr>
        <w:t>VSPMVT</w:t>
      </w:r>
      <w:proofErr w:type="gramEnd"/>
      <w:r w:rsidRPr="007817A3">
        <w:rPr>
          <w:rFonts w:ascii="Book Antiqua" w:hAnsi="Book Antiqua" w:cs="Book Antiqua"/>
          <w:i/>
          <w:iCs/>
          <w:sz w:val="17"/>
          <w:szCs w:val="17"/>
          <w:lang w:val="en-CA"/>
        </w:rPr>
        <w:t>)</w:t>
      </w:r>
    </w:p>
    <w:p w14:paraId="77C5F124" w14:textId="4435776C" w:rsidR="007817A3" w:rsidRPr="0015240A" w:rsidRDefault="007817A3" w:rsidP="007817A3">
      <w:pPr>
        <w:pStyle w:val="ListParagraph"/>
        <w:numPr>
          <w:ilvl w:val="0"/>
          <w:numId w:val="4"/>
        </w:numPr>
        <w:rPr>
          <w:shd w:val="clear" w:color="auto" w:fill="FFFFFF"/>
          <w:lang w:val="en-CA"/>
        </w:rPr>
      </w:pPr>
      <w:r w:rsidRPr="007817A3">
        <w:rPr>
          <w:rFonts w:ascii="Book Antiqua" w:hAnsi="Book Antiqua" w:cs="Book Antiqua"/>
          <w:i/>
          <w:iCs/>
          <w:sz w:val="17"/>
          <w:szCs w:val="17"/>
          <w:lang w:val="en-CA"/>
        </w:rPr>
        <w:t>Vehicle scheduling problem with multiple depots (VSPMD)</w:t>
      </w:r>
    </w:p>
    <w:p w14:paraId="523332D7" w14:textId="20567A17" w:rsidR="0015240A" w:rsidRDefault="0015240A" w:rsidP="0015240A">
      <w:pPr>
        <w:pStyle w:val="ListParagraph"/>
        <w:numPr>
          <w:ilvl w:val="0"/>
          <w:numId w:val="4"/>
        </w:numPr>
        <w:rPr>
          <w:shd w:val="clear" w:color="auto" w:fill="FFFFFF"/>
          <w:lang w:val="en-CA"/>
        </w:rPr>
      </w:pPr>
      <w:r w:rsidRPr="0015240A">
        <w:rPr>
          <w:shd w:val="clear" w:color="auto" w:fill="FFFFFF"/>
          <w:lang w:val="en-CA"/>
        </w:rPr>
        <w:t>bid line problem</w:t>
      </w:r>
    </w:p>
    <w:p w14:paraId="35E53CCA" w14:textId="77777777" w:rsidR="00F5266B" w:rsidRPr="00F5266B" w:rsidRDefault="00F5266B" w:rsidP="00F526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CA"/>
        </w:rPr>
      </w:pPr>
      <w:r w:rsidRPr="00F5266B">
        <w:rPr>
          <w:rFonts w:ascii="Times New Roman" w:hAnsi="Times New Roman" w:cs="Times New Roman"/>
          <w:sz w:val="19"/>
          <w:szCs w:val="19"/>
          <w:lang w:val="en-CA"/>
        </w:rPr>
        <w:t xml:space="preserve">The bid </w:t>
      </w:r>
      <w:proofErr w:type="gramStart"/>
      <w:r w:rsidRPr="00F5266B">
        <w:rPr>
          <w:rFonts w:ascii="Times New Roman" w:hAnsi="Times New Roman" w:cs="Times New Roman"/>
          <w:sz w:val="19"/>
          <w:szCs w:val="19"/>
          <w:lang w:val="en-CA"/>
        </w:rPr>
        <w:t>line</w:t>
      </w:r>
      <w:proofErr w:type="gramEnd"/>
    </w:p>
    <w:p w14:paraId="3659D3B2" w14:textId="77777777" w:rsidR="00F5266B" w:rsidRPr="00F5266B" w:rsidRDefault="00F5266B" w:rsidP="00F526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CA"/>
        </w:rPr>
      </w:pPr>
      <w:proofErr w:type="gramStart"/>
      <w:r w:rsidRPr="00F5266B">
        <w:rPr>
          <w:rFonts w:ascii="Times New Roman" w:hAnsi="Times New Roman" w:cs="Times New Roman"/>
          <w:sz w:val="19"/>
          <w:szCs w:val="19"/>
          <w:lang w:val="en-CA"/>
        </w:rPr>
        <w:t>problem[</w:t>
      </w:r>
      <w:proofErr w:type="gramEnd"/>
      <w:r w:rsidRPr="00F5266B">
        <w:rPr>
          <w:rFonts w:ascii="Times New Roman" w:hAnsi="Times New Roman" w:cs="Times New Roman"/>
          <w:sz w:val="19"/>
          <w:szCs w:val="19"/>
          <w:lang w:val="en-CA"/>
        </w:rPr>
        <w:t>214] refers to the problem of sequencing sets of these pairings into monthly work</w:t>
      </w:r>
    </w:p>
    <w:p w14:paraId="30968372" w14:textId="3F406FF6" w:rsidR="00F5266B" w:rsidRPr="00F5266B" w:rsidRDefault="00F5266B" w:rsidP="00F5266B">
      <w:pPr>
        <w:pStyle w:val="ListParagraph"/>
        <w:numPr>
          <w:ilvl w:val="0"/>
          <w:numId w:val="4"/>
        </w:numPr>
        <w:rPr>
          <w:shd w:val="clear" w:color="auto" w:fill="FFFFFF"/>
          <w:lang w:val="en-CA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plans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for </w:t>
      </w:r>
      <w:proofErr w:type="spellStart"/>
      <w:r>
        <w:rPr>
          <w:rFonts w:ascii="Times New Roman" w:hAnsi="Times New Roman" w:cs="Times New Roman"/>
          <w:sz w:val="19"/>
          <w:szCs w:val="19"/>
        </w:rPr>
        <w:t>individual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sz w:val="19"/>
          <w:szCs w:val="19"/>
        </w:rPr>
        <w:t>crews</w:t>
      </w:r>
      <w:proofErr w:type="spellEnd"/>
      <w:r>
        <w:rPr>
          <w:rFonts w:ascii="Times New Roman" w:hAnsi="Times New Roman" w:cs="Times New Roman"/>
          <w:sz w:val="19"/>
          <w:szCs w:val="19"/>
        </w:rPr>
        <w:t>.</w:t>
      </w:r>
    </w:p>
    <w:p w14:paraId="2613FC0C" w14:textId="7311FC7E" w:rsid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Tractor-trailer routing and scheduling with full loads</w:t>
      </w:r>
    </w:p>
    <w:p w14:paraId="4109B246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A common commercial distribution problem entails the routing and scheduling of the tractor</w:t>
      </w:r>
    </w:p>
    <w:p w14:paraId="2C090AF0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portion of tractor trailer trucks where the trailers are assumed to have a full load. The term full</w:t>
      </w:r>
    </w:p>
    <w:p w14:paraId="71F5550D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load means that a trailer is attached to the tractor and is transported directly from a pickup</w:t>
      </w:r>
    </w:p>
    <w:p w14:paraId="6BCCD8F1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point (the origin) to a delivery point (the destination). The load on a trailer has a unique and</w:t>
      </w:r>
    </w:p>
    <w:p w14:paraId="2CAB9442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specified destination and is not to be split among different destination locations. The capacity of</w:t>
      </w:r>
    </w:p>
    <w:p w14:paraId="4D636172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a tractor is one trailer. Since each trailer is transported from its origin to its destination, this</w:t>
      </w:r>
    </w:p>
    <w:p w14:paraId="789E3877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problem obviously involves precedence constraints. A typical route for a tractor may be as</w:t>
      </w:r>
    </w:p>
    <w:p w14:paraId="14105F25" w14:textId="5105B529" w:rsid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follows (see Fig. 4.3)</w:t>
      </w:r>
    </w:p>
    <w:p w14:paraId="6303D1CA" w14:textId="249421CE" w:rsidR="00F5266B" w:rsidRDefault="00F5266B" w:rsidP="00F5266B">
      <w:pPr>
        <w:rPr>
          <w:shd w:val="clear" w:color="auto" w:fill="FFFFFF"/>
          <w:lang w:val="en-CA"/>
        </w:rPr>
      </w:pPr>
    </w:p>
    <w:p w14:paraId="48F5CB88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The demands are specified in terms of the number of trailer trips between origin/destination</w:t>
      </w:r>
    </w:p>
    <w:p w14:paraId="188E0A6F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pairs. Given this demand data, one may address the following two decision problems:</w:t>
      </w:r>
    </w:p>
    <w:p w14:paraId="1C32F8A0" w14:textId="77777777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Problem 1. Minimize the total distribution cost for handling all origin-destination demands.</w:t>
      </w:r>
    </w:p>
    <w:p w14:paraId="6A78E3B8" w14:textId="3302ACD6" w:rsidR="00F5266B" w:rsidRP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Problem 2. Determine the optimal fleet size required to service a subset of the origin</w:t>
      </w:r>
      <w:r>
        <w:rPr>
          <w:shd w:val="clear" w:color="auto" w:fill="FFFFFF"/>
          <w:lang w:val="en-CA"/>
        </w:rPr>
        <w:t xml:space="preserve"> </w:t>
      </w:r>
      <w:r w:rsidRPr="00F5266B">
        <w:rPr>
          <w:shd w:val="clear" w:color="auto" w:fill="FFFFFF"/>
          <w:lang w:val="en-CA"/>
        </w:rPr>
        <w:t>destination</w:t>
      </w:r>
    </w:p>
    <w:p w14:paraId="61E19322" w14:textId="6523D500" w:rsidR="00F5266B" w:rsidRDefault="00F5266B" w:rsidP="00F5266B">
      <w:pPr>
        <w:rPr>
          <w:shd w:val="clear" w:color="auto" w:fill="FFFFFF"/>
          <w:lang w:val="en-CA"/>
        </w:rPr>
      </w:pPr>
      <w:r w:rsidRPr="00F5266B">
        <w:rPr>
          <w:shd w:val="clear" w:color="auto" w:fill="FFFFFF"/>
          <w:lang w:val="en-CA"/>
        </w:rPr>
        <w:t>demands given that the remaining demand is to be serviced by common carrier.</w:t>
      </w:r>
    </w:p>
    <w:p w14:paraId="2AAF57FD" w14:textId="23CF4979" w:rsidR="00C23070" w:rsidRDefault="00C23070" w:rsidP="00F5266B">
      <w:pPr>
        <w:rPr>
          <w:shd w:val="clear" w:color="auto" w:fill="FFFFFF"/>
          <w:lang w:val="en-CA"/>
        </w:rPr>
      </w:pPr>
    </w:p>
    <w:p w14:paraId="1FF05223" w14:textId="1829AECD" w:rsidR="00C23070" w:rsidRPr="00C23070" w:rsidRDefault="00C23070" w:rsidP="00C23070">
      <w:pPr>
        <w:rPr>
          <w:shd w:val="clear" w:color="auto" w:fill="FFFFFF"/>
          <w:lang w:val="en-CA"/>
        </w:rPr>
      </w:pPr>
      <w:r w:rsidRPr="00C23070">
        <w:rPr>
          <w:shd w:val="clear" w:color="auto" w:fill="FFFFFF"/>
          <w:lang w:val="en-CA"/>
        </w:rPr>
        <w:t>Bell</w:t>
      </w:r>
      <w:r w:rsidR="00156D07">
        <w:rPr>
          <w:shd w:val="clear" w:color="auto" w:fill="FFFFFF"/>
          <w:lang w:val="en-CA"/>
        </w:rPr>
        <w:t xml:space="preserve"> </w:t>
      </w:r>
      <w:r w:rsidRPr="00C23070">
        <w:rPr>
          <w:shd w:val="clear" w:color="auto" w:fill="FFFFFF"/>
          <w:lang w:val="en-CA"/>
        </w:rPr>
        <w:t>et al. (1983), Brown and Graves (1981), Brown et al.</w:t>
      </w:r>
      <w:r>
        <w:rPr>
          <w:shd w:val="clear" w:color="auto" w:fill="FFFFFF"/>
          <w:lang w:val="en-CA"/>
        </w:rPr>
        <w:t xml:space="preserve"> </w:t>
      </w:r>
      <w:r w:rsidRPr="00C23070">
        <w:rPr>
          <w:shd w:val="clear" w:color="auto" w:fill="FFFFFF"/>
          <w:lang w:val="en-CA"/>
        </w:rPr>
        <w:t>(1987), and Powell et al. (1988)</w:t>
      </w:r>
      <w:r>
        <w:rPr>
          <w:shd w:val="clear" w:color="auto" w:fill="FFFFFF"/>
          <w:lang w:val="en-CA"/>
        </w:rPr>
        <w:t xml:space="preserve"> </w:t>
      </w:r>
      <w:r w:rsidRPr="00C23070">
        <w:rPr>
          <w:shd w:val="clear" w:color="auto" w:fill="FFFFFF"/>
          <w:lang w:val="en-CA"/>
        </w:rPr>
        <w:t>have all attempted to</w:t>
      </w:r>
      <w:r>
        <w:rPr>
          <w:shd w:val="clear" w:color="auto" w:fill="FFFFFF"/>
          <w:lang w:val="en-CA"/>
        </w:rPr>
        <w:t xml:space="preserve"> </w:t>
      </w:r>
      <w:r w:rsidRPr="00C23070">
        <w:rPr>
          <w:shd w:val="clear" w:color="auto" w:fill="FFFFFF"/>
          <w:lang w:val="en-CA"/>
        </w:rPr>
        <w:t>implement computerized optimization models for real-time</w:t>
      </w:r>
    </w:p>
    <w:p w14:paraId="073F2254" w14:textId="1223BCDA" w:rsidR="00C23070" w:rsidRDefault="00C23070" w:rsidP="00C23070">
      <w:pPr>
        <w:rPr>
          <w:shd w:val="clear" w:color="auto" w:fill="FFFFFF"/>
          <w:lang w:val="en-CA"/>
        </w:rPr>
      </w:pPr>
      <w:r w:rsidRPr="00C23070">
        <w:rPr>
          <w:shd w:val="clear" w:color="auto" w:fill="FFFFFF"/>
          <w:lang w:val="en-CA"/>
        </w:rPr>
        <w:t>operations.</w:t>
      </w:r>
    </w:p>
    <w:p w14:paraId="168CF447" w14:textId="77777777" w:rsidR="005902FA" w:rsidRDefault="005902FA" w:rsidP="00156D07">
      <w:pPr>
        <w:rPr>
          <w:shd w:val="clear" w:color="auto" w:fill="FFFFFF"/>
          <w:lang w:val="en-CA"/>
        </w:rPr>
      </w:pPr>
    </w:p>
    <w:p w14:paraId="3CDD9A20" w14:textId="56249285" w:rsidR="005902FA" w:rsidRDefault="005902FA" w:rsidP="00156D07">
      <w:pPr>
        <w:rPr>
          <w:shd w:val="clear" w:color="auto" w:fill="FFFFFF"/>
          <w:lang w:val="en-CA"/>
        </w:rPr>
      </w:pPr>
      <w:proofErr w:type="gramStart"/>
      <w:r>
        <w:t>powell</w:t>
      </w:r>
      <w:proofErr w:type="gramEnd"/>
      <w:r>
        <w:t>2002implementing</w:t>
      </w:r>
    </w:p>
    <w:p w14:paraId="3F33FC39" w14:textId="38840C6E" w:rsidR="00156D07" w:rsidRP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>THE LOAD-MATCHING PROBLEM</w:t>
      </w:r>
    </w:p>
    <w:p w14:paraId="485FEDD9" w14:textId="77777777" w:rsidR="00156D07" w:rsidRP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>The load-matching problem of truckload trucking seems,</w:t>
      </w:r>
    </w:p>
    <w:p w14:paraId="23348130" w14:textId="77777777" w:rsidR="00156D07" w:rsidRP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>on the surface, to be surprisingly simple. At any one point</w:t>
      </w:r>
    </w:p>
    <w:p w14:paraId="304CE2BC" w14:textId="77777777" w:rsidR="00156D07" w:rsidRP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>in time, there may be several hundred drivers that are available</w:t>
      </w:r>
    </w:p>
    <w:p w14:paraId="10A3070A" w14:textId="77777777" w:rsidR="00156D07" w:rsidRP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>to be assigned to a load (or are expected to become</w:t>
      </w:r>
    </w:p>
    <w:p w14:paraId="5951BBB6" w14:textId="77777777" w:rsidR="00156D07" w:rsidRP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 xml:space="preserve">available </w:t>
      </w:r>
      <w:proofErr w:type="gramStart"/>
      <w:r w:rsidRPr="00156D07">
        <w:rPr>
          <w:shd w:val="clear" w:color="auto" w:fill="FFFFFF"/>
          <w:lang w:val="en-CA"/>
        </w:rPr>
        <w:t>in the near future</w:t>
      </w:r>
      <w:proofErr w:type="gramEnd"/>
      <w:r w:rsidRPr="00156D07">
        <w:rPr>
          <w:shd w:val="clear" w:color="auto" w:fill="FFFFFF"/>
          <w:lang w:val="en-CA"/>
        </w:rPr>
        <w:t>), and several hundred loads that</w:t>
      </w:r>
    </w:p>
    <w:p w14:paraId="2F9B0DFC" w14:textId="77777777" w:rsidR="00156D07" w:rsidRP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>need a driver to pick up the load and carry it to the destination.</w:t>
      </w:r>
    </w:p>
    <w:p w14:paraId="6A74405B" w14:textId="77777777" w:rsidR="00156D07" w:rsidRP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>The challenge is finding the right driver to assign to</w:t>
      </w:r>
    </w:p>
    <w:p w14:paraId="0010AA87" w14:textId="5415E63C" w:rsidR="00156D07" w:rsidRDefault="00156D07" w:rsidP="00156D07">
      <w:pPr>
        <w:rPr>
          <w:shd w:val="clear" w:color="auto" w:fill="FFFFFF"/>
          <w:lang w:val="en-CA"/>
        </w:rPr>
      </w:pPr>
      <w:r w:rsidRPr="00156D07">
        <w:rPr>
          <w:shd w:val="clear" w:color="auto" w:fill="FFFFFF"/>
          <w:lang w:val="en-CA"/>
        </w:rPr>
        <w:t>the right load.</w:t>
      </w:r>
    </w:p>
    <w:p w14:paraId="672E778B" w14:textId="7CACF0F9" w:rsidR="005902FA" w:rsidRDefault="005902FA" w:rsidP="00156D07">
      <w:pPr>
        <w:rPr>
          <w:shd w:val="clear" w:color="auto" w:fill="FFFFFF"/>
          <w:lang w:val="en-CA"/>
        </w:rPr>
      </w:pPr>
    </w:p>
    <w:p w14:paraId="11A58CBA" w14:textId="2FDCCC29" w:rsidR="005902FA" w:rsidRDefault="005902FA" w:rsidP="00156D07">
      <w:pPr>
        <w:rPr>
          <w:lang w:val="en-CA"/>
        </w:rPr>
      </w:pPr>
      <w:r w:rsidRPr="005902FA">
        <w:rPr>
          <w:lang w:val="en-CA"/>
        </w:rPr>
        <w:t>{Real-time dispatch of petroleum tank trucks</w:t>
      </w:r>
    </w:p>
    <w:p w14:paraId="449117BD" w14:textId="00A45DFC" w:rsidR="005902FA" w:rsidRPr="005902FA" w:rsidRDefault="005902FA" w:rsidP="00156D07">
      <w:pPr>
        <w:rPr>
          <w:shd w:val="clear" w:color="auto" w:fill="FFFFFF"/>
          <w:lang w:val="en-CA"/>
        </w:rPr>
      </w:pPr>
      <w:proofErr w:type="gramStart"/>
      <w:r>
        <w:t>brown</w:t>
      </w:r>
      <w:proofErr w:type="gramEnd"/>
      <w:r>
        <w:t>1981real</w:t>
      </w:r>
    </w:p>
    <w:sectPr w:rsidR="005902FA" w:rsidRPr="005902F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Lato">
    <w:altName w:val="Segoe UI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777C4"/>
    <w:multiLevelType w:val="hybridMultilevel"/>
    <w:tmpl w:val="FC26DB10"/>
    <w:lvl w:ilvl="0" w:tplc="9752B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9A9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E16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0AB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60C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4A13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926E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849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06EA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954E73"/>
    <w:multiLevelType w:val="hybridMultilevel"/>
    <w:tmpl w:val="EEFA6A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A1E1C"/>
    <w:multiLevelType w:val="hybridMultilevel"/>
    <w:tmpl w:val="AB767504"/>
    <w:lvl w:ilvl="0" w:tplc="8A405B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BEEE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5CD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9E9D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70E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3420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E0F8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92BA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46B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6843456"/>
    <w:multiLevelType w:val="hybridMultilevel"/>
    <w:tmpl w:val="21C4C4F8"/>
    <w:lvl w:ilvl="0" w:tplc="0C0C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BF"/>
    <w:rsid w:val="0015240A"/>
    <w:rsid w:val="00156D07"/>
    <w:rsid w:val="00261CAA"/>
    <w:rsid w:val="004250BF"/>
    <w:rsid w:val="00557D0C"/>
    <w:rsid w:val="005902FA"/>
    <w:rsid w:val="005E1744"/>
    <w:rsid w:val="0076196E"/>
    <w:rsid w:val="007817A3"/>
    <w:rsid w:val="00832602"/>
    <w:rsid w:val="008C6321"/>
    <w:rsid w:val="008D7B1D"/>
    <w:rsid w:val="0091051B"/>
    <w:rsid w:val="009C6D58"/>
    <w:rsid w:val="00AD1348"/>
    <w:rsid w:val="00BB3751"/>
    <w:rsid w:val="00C23070"/>
    <w:rsid w:val="00CB0FFE"/>
    <w:rsid w:val="00D30285"/>
    <w:rsid w:val="00E42C57"/>
    <w:rsid w:val="00EA6D0A"/>
    <w:rsid w:val="00EC759D"/>
    <w:rsid w:val="00F5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9E530"/>
  <w15:chartTrackingRefBased/>
  <w15:docId w15:val="{30892E11-476E-43D9-BC1F-D2CD26549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751"/>
    <w:pPr>
      <w:ind w:left="720"/>
      <w:contextualSpacing/>
    </w:pPr>
  </w:style>
  <w:style w:type="table" w:styleId="TableGrid">
    <w:name w:val="Table Grid"/>
    <w:basedOn w:val="TableNormal"/>
    <w:uiPriority w:val="39"/>
    <w:rsid w:val="00910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42C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0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9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1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0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1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9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58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1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4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4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2392</TotalTime>
  <Pages>6</Pages>
  <Words>800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Wattara Ali</dc:creator>
  <cp:keywords/>
  <dc:description/>
  <cp:lastModifiedBy>Wattara Ali</cp:lastModifiedBy>
  <cp:revision>6</cp:revision>
  <dcterms:created xsi:type="dcterms:W3CDTF">2020-12-06T15:01:00Z</dcterms:created>
  <dcterms:modified xsi:type="dcterms:W3CDTF">2020-12-08T08:03:00Z</dcterms:modified>
</cp:coreProperties>
</file>