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资料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在电脑D盘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财务相关信息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环拓2018年1-12月工资报表；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（2）2019年客户开票登记信息；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（3）环拓7-12月工资对外申报明细；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环拓收款账号（对公户、法人私户）；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优盾银行卡账号密码；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2018年1-12月考勤；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2019年1月考勤；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员工现金支配情况（2018年、2019年）；</w:t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人事相关信息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员工入职相关材料--求职登记表、入职登记表、转正申请表、加薪通知书、离职登记表、新员工入职指南、新员工入职培训PPT；</w:t>
      </w:r>
    </w:p>
    <w:p>
      <w:pPr>
        <w:pStyle w:val="2"/>
        <w:numPr>
          <w:ilvl w:val="0"/>
          <w:numId w:val="5"/>
        </w:numPr>
        <w:tabs>
          <w:tab w:val="center" w:pos="52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在职员工入职登记表（在职、离职）；</w:t>
      </w:r>
    </w:p>
    <w:p>
      <w:pPr>
        <w:pStyle w:val="2"/>
        <w:numPr>
          <w:ilvl w:val="0"/>
          <w:numId w:val="5"/>
        </w:numPr>
        <w:tabs>
          <w:tab w:val="center" w:pos="52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人员招聘相关材料--平台账号密码（智联招聘、58同城）、招聘岗位要求；</w:t>
      </w:r>
    </w:p>
    <w:p>
      <w:pPr>
        <w:pStyle w:val="2"/>
        <w:numPr>
          <w:ilvl w:val="0"/>
          <w:numId w:val="5"/>
        </w:numPr>
        <w:tabs>
          <w:tab w:val="center" w:pos="52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云南环拓公司介绍（PPT）；</w:t>
      </w:r>
    </w:p>
    <w:p>
      <w:pPr>
        <w:pStyle w:val="2"/>
        <w:numPr>
          <w:ilvl w:val="0"/>
          <w:numId w:val="5"/>
        </w:numPr>
        <w:tabs>
          <w:tab w:val="center" w:pos="52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营业执照变更资料；</w:t>
      </w:r>
    </w:p>
    <w:p>
      <w:pPr>
        <w:pStyle w:val="2"/>
        <w:numPr>
          <w:ilvl w:val="0"/>
          <w:numId w:val="5"/>
        </w:numPr>
        <w:tabs>
          <w:tab w:val="center" w:pos="52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社保—社保拷贝资料、新开户准备的资料、办理五险一金的流程、社保后续需要办理的业务、五险一金的单位编码；</w:t>
      </w:r>
    </w:p>
    <w:p>
      <w:pPr>
        <w:pStyle w:val="2"/>
        <w:numPr>
          <w:ilvl w:val="0"/>
          <w:numId w:val="5"/>
        </w:numPr>
        <w:tabs>
          <w:tab w:val="center" w:pos="52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职工证书（PHP证书）；</w:t>
      </w:r>
    </w:p>
    <w:p>
      <w:pPr>
        <w:pStyle w:val="2"/>
        <w:numPr>
          <w:ilvl w:val="0"/>
          <w:numId w:val="5"/>
        </w:numPr>
        <w:tabs>
          <w:tab w:val="center" w:pos="52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营业执照（扫描件、法人身份证扫描件）；</w:t>
      </w:r>
    </w:p>
    <w:p>
      <w:pPr>
        <w:pStyle w:val="2"/>
        <w:numPr>
          <w:ilvl w:val="0"/>
          <w:numId w:val="5"/>
        </w:numPr>
        <w:tabs>
          <w:tab w:val="center" w:pos="52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环拓基本信息表</w:t>
      </w:r>
    </w:p>
    <w:p>
      <w:pPr>
        <w:pStyle w:val="2"/>
        <w:numPr>
          <w:ilvl w:val="0"/>
          <w:numId w:val="5"/>
        </w:numPr>
        <w:tabs>
          <w:tab w:val="center" w:pos="52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门禁指纹</w:t>
      </w:r>
    </w:p>
    <w:p>
      <w:pPr>
        <w:pStyle w:val="2"/>
        <w:numPr>
          <w:ilvl w:val="0"/>
          <w:numId w:val="5"/>
        </w:numPr>
        <w:tabs>
          <w:tab w:val="center" w:pos="52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公司车辆使用协议</w:t>
      </w:r>
    </w:p>
    <w:p>
      <w:pPr>
        <w:pStyle w:val="2"/>
        <w:numPr>
          <w:ilvl w:val="0"/>
          <w:numId w:val="5"/>
        </w:numPr>
        <w:tabs>
          <w:tab w:val="center" w:pos="52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县域电商</w:t>
      </w:r>
    </w:p>
    <w:p>
      <w:pPr>
        <w:pStyle w:val="2"/>
        <w:numPr>
          <w:ilvl w:val="0"/>
          <w:numId w:val="2"/>
        </w:numPr>
        <w:tabs>
          <w:tab w:val="left" w:pos="6283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环拓资料</w:t>
      </w:r>
      <w:r>
        <w:rPr>
          <w:rFonts w:hint="eastAsia"/>
          <w:b/>
          <w:bCs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（1）2018公司资料-可对外；</w:t>
      </w:r>
    </w:p>
    <w:p>
      <w:pPr>
        <w:pStyle w:val="2"/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软著明细（环拓的、客户的）；</w:t>
      </w:r>
    </w:p>
    <w:p>
      <w:pPr>
        <w:pStyle w:val="2"/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电商一体化（TPSHOP、大商创功能列表、电商一体化系统、县域电商解决方案等）；</w:t>
      </w:r>
    </w:p>
    <w:p>
      <w:pPr>
        <w:pStyle w:val="2"/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电销产品（网站建设、微信分销、追溯系统、小程序、餐饮连锁等等）；</w:t>
      </w:r>
    </w:p>
    <w:p>
      <w:pPr>
        <w:pStyle w:val="2"/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环拓业务-案例资料分享（云纪念、康乐、蓝宝、创意装饰......）;</w:t>
      </w:r>
    </w:p>
    <w:p>
      <w:pPr>
        <w:pStyle w:val="2"/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售后服务（2017环拓客户--舒敏）；</w:t>
      </w:r>
    </w:p>
    <w:p>
      <w:pPr>
        <w:pStyle w:val="2"/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环拓高新企业认证资料（财务审计报告、软著、纳税申报表、财务报表）；</w:t>
      </w:r>
    </w:p>
    <w:p>
      <w:pPr>
        <w:pStyle w:val="2"/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官网维护（订阅号、服务号等）；</w:t>
      </w:r>
    </w:p>
    <w:p>
      <w:pPr>
        <w:pStyle w:val="2"/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环拓宣传册；</w:t>
      </w:r>
    </w:p>
    <w:p>
      <w:pPr>
        <w:pStyle w:val="2"/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招投标资料（纳税证明、审计报告、项目开发合同、营业执照、租房合同）；</w:t>
      </w:r>
    </w:p>
    <w:p>
      <w:pPr>
        <w:pStyle w:val="2"/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合同相关资料（合同、项目进度验收表）；</w:t>
      </w:r>
    </w:p>
    <w:p>
      <w:pPr>
        <w:pStyle w:val="2"/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会议记录（2018年、2019年）；</w:t>
      </w:r>
    </w:p>
    <w:p>
      <w:pPr>
        <w:pStyle w:val="2"/>
        <w:numPr>
          <w:ilvl w:val="0"/>
          <w:numId w:val="2"/>
        </w:numPr>
        <w:tabs>
          <w:tab w:val="left" w:pos="1400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乡土资料（招投标方案相关材料）；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前期准备材料（洱源县电商进农村示范工作、2017年发票、协议扫描件、平台规划......）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乡土高企认证后期补充材料；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乡土公社朱家磊名片；</w:t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大理项目所需资料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前期准备工作—公司证件、环拓、招标资质、技术方案、平台UI设计效果图等；</w:t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使用说明书；</w:t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安装包；</w:t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大数据对接国家平台；</w:t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收尾工作；</w:t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奥远科技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全景360技术；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（2）奥远招投标资质；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7、顾家家装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（1）顾家图片—背景墙、顾家KTV案例、顾家材料及线条展示等；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（2）证书；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8、澜沧项目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（1）东回镇花名册；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（2）澜沧商城产品；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（3）澜沧招商项目册—澜沧投资服务指南、绿色工业、绿色生态、文化旅游、现代服务业；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（4）前期；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（5）说明书；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9、普洱项目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（1）说明书；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（2）前期；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10、烟草项目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（1）烟草原产品图；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（2）PSD文件—条盒、小盒、烟支；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（3）烟草P过产品图；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（4）机型参数；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（5）机型机台参数—会泽、红河、玉溪、大理、楚雄等；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（6）烟草厂反馈回来的问题；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（7）烟草人员添加名单；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（8）综合情况（我这边发现的问题及处理掉）；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（9）收尾工作（包括说明书）；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11、云茶优品</w:t>
      </w:r>
      <w:r>
        <w:rPr>
          <w:rFonts w:hint="eastAsia"/>
          <w:lang w:val="en-US" w:eastAsia="zh-CN"/>
        </w:rPr>
        <w:t>（说明书）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3">
      <wne:acd wne:acdName="acd0"/>
    </wne:keymap>
    <wne:keymap wne:kcmPrimary="0446">
      <wne:acd wne:acdName="acd1"/>
    </wne:keymap>
    <wne:keymap wne:kcmPrimary="0444">
      <wne:acd wne:acdName="acd2"/>
    </wne:keymap>
    <wne:keymap wne:kcmPrimary="0458">
      <wne:acd wne:acdName="acd3"/>
    </wne:keymap>
  </wne:keymaps>
  <wne:acds>
    <wne:acd wne:argValue="AQAAAAMA" wne:acdName="acd0" wne:fciIndexBasedOn="0065"/>
    <wne:acd wne:argValue="AQAAAAEA" wne:acdName="acd1" wne:fciIndexBasedOn="0065"/>
    <wne:acd wne:argValue="AQAAAAI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decorative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6A177"/>
    <w:multiLevelType w:val="singleLevel"/>
    <w:tmpl w:val="8986A17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3912FED"/>
    <w:multiLevelType w:val="singleLevel"/>
    <w:tmpl w:val="93912FE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BDCAEEC"/>
    <w:multiLevelType w:val="singleLevel"/>
    <w:tmpl w:val="DBDCAEE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90526B2"/>
    <w:multiLevelType w:val="singleLevel"/>
    <w:tmpl w:val="290526B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BDB8867"/>
    <w:multiLevelType w:val="singleLevel"/>
    <w:tmpl w:val="4BDB8867"/>
    <w:lvl w:ilvl="0" w:tentative="0">
      <w:start w:val="4"/>
      <w:numFmt w:val="decimal"/>
      <w:suff w:val="nothing"/>
      <w:lvlText w:val="（%1）"/>
      <w:lvlJc w:val="left"/>
    </w:lvl>
  </w:abstractNum>
  <w:abstractNum w:abstractNumId="5">
    <w:nsid w:val="537CABC3"/>
    <w:multiLevelType w:val="singleLevel"/>
    <w:tmpl w:val="537CABC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717F11B1"/>
    <w:multiLevelType w:val="multilevel"/>
    <w:tmpl w:val="717F11B1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2"/>
      <w:numFmt w:val="decimal"/>
      <w:pStyle w:val="6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宋体"/>
        <w:b/>
        <w:i w:val="0"/>
        <w:sz w:val="24"/>
        <w:szCs w:val="24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宋体"/>
        <w:b/>
        <w:i w:val="0"/>
        <w:sz w:val="24"/>
        <w:szCs w:val="24"/>
      </w:rPr>
    </w:lvl>
  </w:abstractNum>
  <w:abstractNum w:abstractNumId="7">
    <w:nsid w:val="7D0947D2"/>
    <w:multiLevelType w:val="singleLevel"/>
    <w:tmpl w:val="7D0947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68E0"/>
    <w:rsid w:val="018B3637"/>
    <w:rsid w:val="047D1A11"/>
    <w:rsid w:val="049027E7"/>
    <w:rsid w:val="0A2676F8"/>
    <w:rsid w:val="0A561960"/>
    <w:rsid w:val="0B0F51D2"/>
    <w:rsid w:val="0B8B76C0"/>
    <w:rsid w:val="0DA41191"/>
    <w:rsid w:val="0F252244"/>
    <w:rsid w:val="0F45485A"/>
    <w:rsid w:val="12776F0E"/>
    <w:rsid w:val="13C52677"/>
    <w:rsid w:val="17A96B5D"/>
    <w:rsid w:val="1D082ADC"/>
    <w:rsid w:val="1D8425A3"/>
    <w:rsid w:val="1E5467AA"/>
    <w:rsid w:val="1EA80E05"/>
    <w:rsid w:val="1EF16883"/>
    <w:rsid w:val="1F8D03A2"/>
    <w:rsid w:val="1FC803BD"/>
    <w:rsid w:val="261706BE"/>
    <w:rsid w:val="26795559"/>
    <w:rsid w:val="2BC43121"/>
    <w:rsid w:val="2D386653"/>
    <w:rsid w:val="2DC226AA"/>
    <w:rsid w:val="33C17AC9"/>
    <w:rsid w:val="341468B0"/>
    <w:rsid w:val="345F26CB"/>
    <w:rsid w:val="3787704B"/>
    <w:rsid w:val="3B6268B7"/>
    <w:rsid w:val="3D0208F8"/>
    <w:rsid w:val="3D27164A"/>
    <w:rsid w:val="3E233D19"/>
    <w:rsid w:val="3E9648AE"/>
    <w:rsid w:val="3EF338F7"/>
    <w:rsid w:val="40CD0EF2"/>
    <w:rsid w:val="40F04060"/>
    <w:rsid w:val="42876746"/>
    <w:rsid w:val="43197C0A"/>
    <w:rsid w:val="43253109"/>
    <w:rsid w:val="43DB2875"/>
    <w:rsid w:val="45113AF2"/>
    <w:rsid w:val="458744E0"/>
    <w:rsid w:val="45C96A96"/>
    <w:rsid w:val="461B5A7F"/>
    <w:rsid w:val="49AE4781"/>
    <w:rsid w:val="4BC11F82"/>
    <w:rsid w:val="4EF7561E"/>
    <w:rsid w:val="4F310DAE"/>
    <w:rsid w:val="51F33D53"/>
    <w:rsid w:val="525D2AA3"/>
    <w:rsid w:val="53C72CB9"/>
    <w:rsid w:val="54E72389"/>
    <w:rsid w:val="552F63D8"/>
    <w:rsid w:val="597E7783"/>
    <w:rsid w:val="5AA53BB7"/>
    <w:rsid w:val="5D180182"/>
    <w:rsid w:val="5E4C2145"/>
    <w:rsid w:val="5F133DE5"/>
    <w:rsid w:val="5F3F78D1"/>
    <w:rsid w:val="61F038AA"/>
    <w:rsid w:val="623301C1"/>
    <w:rsid w:val="623E451B"/>
    <w:rsid w:val="628B36F4"/>
    <w:rsid w:val="662864A1"/>
    <w:rsid w:val="667F037A"/>
    <w:rsid w:val="6769416B"/>
    <w:rsid w:val="696C0534"/>
    <w:rsid w:val="6FB27394"/>
    <w:rsid w:val="70647EBC"/>
    <w:rsid w:val="72143297"/>
    <w:rsid w:val="7391152C"/>
    <w:rsid w:val="73EB2428"/>
    <w:rsid w:val="74703B00"/>
    <w:rsid w:val="7C91778D"/>
    <w:rsid w:val="7D4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/>
      <w:ind w:firstLine="480" w:firstLineChars="200"/>
    </w:pPr>
    <w:rPr>
      <w:rFonts w:ascii="Calibri" w:hAnsi="Calibri" w:eastAsia="微软雅黑" w:cs="Times New Roman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15"/>
    <w:qFormat/>
    <w:uiPriority w:val="0"/>
    <w:pPr>
      <w:keepNext/>
      <w:keepLines/>
      <w:adjustRightInd w:val="0"/>
      <w:snapToGrid w:val="0"/>
      <w:spacing w:before="50" w:beforeLines="50" w:line="360" w:lineRule="auto"/>
      <w:ind w:firstLine="0" w:firstLineChars="0"/>
      <w:outlineLvl w:val="0"/>
    </w:pPr>
    <w:rPr>
      <w:rFonts w:ascii="Times New Roman" w:hAnsi="Times New Roman" w:cs="Times New Roman"/>
      <w:b/>
      <w:bCs/>
      <w:kern w:val="44"/>
      <w:sz w:val="32"/>
      <w:szCs w:val="44"/>
      <w:lang w:val="zh-CN"/>
    </w:rPr>
  </w:style>
  <w:style w:type="paragraph" w:styleId="4">
    <w:name w:val="heading 2"/>
    <w:basedOn w:val="1"/>
    <w:next w:val="1"/>
    <w:link w:val="16"/>
    <w:semiHidden/>
    <w:unhideWhenUsed/>
    <w:qFormat/>
    <w:uiPriority w:val="0"/>
    <w:pPr>
      <w:keepNext/>
      <w:keepLines/>
      <w:adjustRightInd w:val="0"/>
      <w:snapToGrid w:val="0"/>
      <w:spacing w:before="50" w:beforeLines="50" w:line="360" w:lineRule="auto"/>
      <w:ind w:firstLineChars="0"/>
      <w:outlineLvl w:val="1"/>
    </w:pPr>
    <w:rPr>
      <w:rFonts w:ascii="Times New Roman" w:hAnsi="Times New Roman" w:cs="Times New Roman"/>
      <w:b/>
      <w:bCs/>
      <w:color w:val="000000"/>
      <w:kern w:val="0"/>
      <w:sz w:val="28"/>
      <w:szCs w:val="32"/>
      <w:lang w:val="zh-CN"/>
    </w:rPr>
  </w:style>
  <w:style w:type="paragraph" w:styleId="5">
    <w:name w:val="heading 3"/>
    <w:basedOn w:val="1"/>
    <w:next w:val="1"/>
    <w:link w:val="14"/>
    <w:semiHidden/>
    <w:unhideWhenUsed/>
    <w:qFormat/>
    <w:uiPriority w:val="0"/>
    <w:pPr>
      <w:spacing w:before="0" w:beforeAutospacing="1" w:after="0" w:afterAutospacing="1"/>
      <w:ind w:firstLine="0" w:firstLineChars="0"/>
      <w:jc w:val="left"/>
      <w:outlineLvl w:val="2"/>
    </w:pPr>
    <w:rPr>
      <w:rFonts w:hint="eastAsia" w:ascii="Times New Roman" w:hAnsi="Times New Roman" w:cs="宋体"/>
      <w:b/>
      <w:bCs/>
      <w:kern w:val="0"/>
      <w:sz w:val="24"/>
      <w:szCs w:val="27"/>
      <w:lang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0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character" w:customStyle="1" w:styleId="14">
    <w:name w:val="标题 3 Char"/>
    <w:basedOn w:val="13"/>
    <w:link w:val="5"/>
    <w:qFormat/>
    <w:uiPriority w:val="0"/>
    <w:rPr>
      <w:rFonts w:ascii="Times New Roman" w:hAnsi="Times New Roman" w:eastAsia="微软雅黑" w:cs="Times New Roman"/>
      <w:b/>
      <w:bCs/>
      <w:kern w:val="0"/>
      <w:sz w:val="24"/>
      <w:szCs w:val="32"/>
      <w:lang w:val="zh-CN" w:eastAsia="zh-CN"/>
    </w:rPr>
  </w:style>
  <w:style w:type="character" w:customStyle="1" w:styleId="15">
    <w:name w:val="标题 1 Char"/>
    <w:basedOn w:val="13"/>
    <w:link w:val="3"/>
    <w:qFormat/>
    <w:uiPriority w:val="0"/>
    <w:rPr>
      <w:rFonts w:ascii="Times New Roman" w:hAnsi="Times New Roman" w:eastAsia="微软雅黑" w:cs="Times New Roman"/>
      <w:b/>
      <w:bCs/>
      <w:kern w:val="44"/>
      <w:sz w:val="32"/>
      <w:szCs w:val="44"/>
      <w:lang w:val="zh-CN" w:eastAsia="zh-CN"/>
    </w:rPr>
  </w:style>
  <w:style w:type="character" w:customStyle="1" w:styleId="16">
    <w:name w:val="标题 2 Char"/>
    <w:basedOn w:val="13"/>
    <w:link w:val="4"/>
    <w:qFormat/>
    <w:uiPriority w:val="0"/>
    <w:rPr>
      <w:rFonts w:ascii="Times New Roman" w:hAnsi="Times New Roman" w:eastAsia="微软雅黑" w:cs="Times New Roman"/>
      <w:b/>
      <w:bCs/>
      <w:color w:val="000000"/>
      <w:kern w:val="0"/>
      <w:sz w:val="28"/>
      <w:szCs w:val="32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229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后知┏ (^ω^)=☞后觉</dc:creator>
  <cp:lastModifiedBy>黄超</cp:lastModifiedBy>
  <dcterms:modified xsi:type="dcterms:W3CDTF">2019-11-29T07:12:52Z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