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sz w:val="32"/>
        </w:rPr>
        <w:t>A Privacy-Preserving Multi-Modal Proctoring Framework Using Deep Learning for Secure Online Examinations</w:t>
      </w:r>
    </w:p>
    <w:p>
      <w:pPr>
        <w:jc w:val="center"/>
      </w:pPr>
      <w:r>
        <w:rPr>
          <w:rFonts w:ascii="Times New Roman" w:hAnsi="Times New Roman" w:cs="Times New Roman"/>
          <w:b/>
          <w:i w:val="0"/>
          <w:sz w:val="24"/>
        </w:rPr>
        <w:t>Radid Ali, Ghazouani Mohamed, El habib Benlahmar</w:t>
      </w:r>
    </w:p>
    <w:p>
      <w:pPr>
        <w:jc w:val="center"/>
      </w:pPr>
      <w:r>
        <w:rPr>
          <w:rFonts w:ascii="Times New Roman" w:hAnsi="Times New Roman" w:cs="Times New Roman"/>
          <w:b w:val="0"/>
          <w:i/>
          <w:sz w:val="20"/>
        </w:rPr>
        <w:t>Department of Mathematics and Computer Science, Hassan II University, Faculty of Sciences Ben M'sik, Casablanca, Morocco</w:t>
      </w:r>
    </w:p>
    <w:p>
      <w:pPr>
        <w:jc w:val="center"/>
      </w:pPr>
      <w:r>
        <w:rPr>
          <w:rFonts w:ascii="Times New Roman" w:hAnsi="Times New Roman" w:cs="Times New Roman"/>
          <w:b w:val="0"/>
          <w:i w:val="0"/>
          <w:sz w:val="20"/>
        </w:rPr>
        <w:t>radidalix@outlook.fr, ghazouani.fsbm@gmail.com, h.benlahmer@gmail.com</w:t>
      </w:r>
    </w:p>
    <w:p>
      <w:pPr>
        <w:spacing w:before="160" w:after="80"/>
      </w:pPr>
      <w:r>
        <w:rPr>
          <w:rFonts w:ascii="Times New Roman" w:hAnsi="Times New Roman" w:cs="Times New Roman"/>
          <w:b/>
          <w:i w:val="0"/>
          <w:sz w:val="28"/>
        </w:rPr>
        <w:t>Abstract</w:t>
      </w:r>
    </w:p>
    <w:p>
      <w:pPr>
        <w:spacing w:after="80" w:line="288" w:lineRule="auto"/>
      </w:pPr>
      <w:r>
        <w:rPr>
          <w:rFonts w:ascii="Times New Roman" w:hAnsi="Times New Roman" w:cs="Times New Roman"/>
          <w:b w:val="0"/>
          <w:i w:val="0"/>
          <w:sz w:val="22"/>
        </w:rPr>
        <w:t>The rapid adoption of online assessment platforms has accelerated the deployment of AI-driven proctoring systems. Most commercial solutions, however, rely on intrusive biometric processing -— continuous facial recognition, voiceprint extraction, and speech transcription -— that conflict with strict data-protection regimes such as the European General Data Protection Regulation (GDPR) and the Moroccan CNDP Law 09-08, which classify such data as sensitive personal information. This paper proposes a privacy-preserving multi-modal proctoring framework that maintains examination integrity without storing any biometric template, raw video, or linguistic content. The system integrates (i) YOLOv8-s for contextual object detection, (ii) MediaPipe FaceMesh for non-identifying geometric behavioural cues (gaze deviation, head pose, lip-movement variance), and (iii) a Whisper-Base encoder operating in content-free mode for acoustic anomaly detection. All modality outputs are converted to a standardized event stream and processed by a Suspicion Index Fusion Model whose strategy is identified empirically among five alternatives (rule-based weighted sum, logistic regression, random forest, multi-layer perceptron, naive Bayes). On a real COCO val2017 subset (217 images, 1,164 annotations) YOLOv8-s achieves a macro F1 of 0.606 and a mean AP@0.5 of 0.519. On a 400-clip acoustic benchmark built from LibriSpeech (real read English speech, CC-BY 4.0), the Whisper-Base encoder used as a content-free embedding extractor attains a secondary-speaker ROC AUC of 0.774 (best-threshold F1 = 0.78) and a whisper-detection AUC of 0.935. A 5-fold stratified cross-validation on 300 sessions whose features come from real YOLOv8 detections on COCO, real Whisper outputs on LibriSpeech mixes, and real MediaPipe FaceMesh measurements on Pexels portraits ranks Random Forest as the best fusion strategy with F1 = 0.905 ± 0.041 (95% bootstrap CI [0.876, 0.931]), significantly outperforming the rule-based weighted sum (F1 = 0.899, McNemar χ² = 7.20, p = 7.3 × 10⁻³) and the other learned baselines (all p &lt; 0.05 after Bonferroni correction). Leave-one-modality-out ablations show that visual cues dominate the decision (ROC AUC collapses from 0.886 to 0.557 when removed). On a single Apple M4 Max host (Mac Studio, 36 GB unified memory) the end-to-end pipeline runs at 29.5 FPS with MPS acceleration and 30.0 FPS in CPU-only mode, with a peak resident memory of 1,075 MB. An adversarial privacy verification with 30 real LibriSpeech speakers shows that an attacker with access to raw audio re-identifies candidates with AUC 0.994, while the same attacker constrained to the metadata stream emitted by our system achieves only 0.478 (sub-chance), empirically confirming the non-biometric property of the framework. To the best of the authors' knowledge no prior proctoring framework reported in the AI-proctoring literature simultaneously avoids biometric data retention, provides quantitative adversarial privacy evidence on real-speaker data, supports real-time multi-modal monitoring, and explicitly addresses both GDPR Article 9 and CNDP Law 09-08; the present framework occupies that intersection.</w:t>
      </w:r>
    </w:p>
    <w:p>
      <w:pPr>
        <w:spacing w:after="120"/>
      </w:pPr>
      <w:r>
        <w:rPr>
          <w:rFonts w:ascii="Times New Roman" w:hAnsi="Times New Roman" w:cs="Times New Roman"/>
          <w:b/>
          <w:i/>
          <w:sz w:val="22"/>
        </w:rPr>
        <w:t xml:space="preserve">Keywords — </w:t>
      </w:r>
      <w:r>
        <w:rPr>
          <w:rFonts w:ascii="Times New Roman" w:hAnsi="Times New Roman" w:cs="Times New Roman"/>
          <w:b w:val="0"/>
          <w:i/>
          <w:sz w:val="22"/>
        </w:rPr>
        <w:t>privacy-preserving proctoring; non-biometric monitoring; YOLOv8; MediaPipe FaceMesh; Whisper; suspicion index; online examinations; GDPR; CNDP; adversarial privacy verification.</w:t>
      </w:r>
    </w:p>
    <w:p>
      <w:pPr>
        <w:spacing w:before="160" w:after="80"/>
      </w:pPr>
      <w:r>
        <w:rPr>
          <w:rFonts w:ascii="Times New Roman" w:hAnsi="Times New Roman" w:cs="Times New Roman"/>
          <w:b/>
          <w:i w:val="0"/>
          <w:sz w:val="28"/>
        </w:rPr>
        <w:t>1. Introduction</w:t>
      </w:r>
    </w:p>
    <w:p>
      <w:pPr>
        <w:spacing w:before="160" w:after="80"/>
      </w:pPr>
      <w:r>
        <w:rPr>
          <w:rFonts w:ascii="Times New Roman" w:hAnsi="Times New Roman" w:cs="Times New Roman"/>
          <w:b/>
          <w:i w:val="0"/>
          <w:sz w:val="24"/>
        </w:rPr>
        <w:t>1.1 Motivation</w:t>
      </w:r>
    </w:p>
    <w:p>
      <w:pPr>
        <w:spacing w:after="80" w:line="288" w:lineRule="auto"/>
      </w:pPr>
      <w:r>
        <w:rPr>
          <w:rFonts w:ascii="Times New Roman" w:hAnsi="Times New Roman" w:cs="Times New Roman"/>
          <w:b w:val="0"/>
          <w:i w:val="0"/>
          <w:sz w:val="22"/>
        </w:rPr>
        <w:t>The widespread adoption of online learning environments has accelerated the need for secure remote assessment methods capable of preserving academic integrity without violating student privacy. The rapid pivot to remote assessment during and after the COVID-19 pandemic was accompanied by the broad deployment of commercial proctoring platforms (e.g. Respondus Monitor, ProctorU) that rely on continuous biometric face verification, browser-lockdown agents, and audio recording. The behavioural and ethical impact of these tools has been the subject of growing concern, with empirical studies documenting test-taker anxiety, surveillance overreach, and racial-skin-tone bias in face-verification components [1], [2], [3].</w:t>
      </w:r>
    </w:p>
    <w:p>
      <w:pPr>
        <w:spacing w:after="80" w:line="288" w:lineRule="auto"/>
      </w:pPr>
      <w:r>
        <w:rPr>
          <w:rFonts w:ascii="Times New Roman" w:hAnsi="Times New Roman" w:cs="Times New Roman"/>
          <w:b w:val="0"/>
          <w:i w:val="0"/>
          <w:sz w:val="22"/>
        </w:rPr>
        <w:t>In parallel, the regulatory environment has tightened sharply. Article 9 of the EU General Data Protection Regulation [4] classifies biometric data used for unique identification as a special category that requires explicit consent and proportionality. The Moroccan CNDP Law 09-08 [5] enforces equivalent restrictions, requiring data-protection impact assessments, minimisation, and a clear legal basis for any biometric processing. The CNDP guidance note of 2022 [6] further clarifies the proportionality requirements specific to educational settings. European data-protection authorities have also begun to sanction institutions that deployed face-recognition-based proctoring without an adequate legal basis (e.g. CNIL Deliberation SAN-2022-018 [32]). Consequently, the academic sector faces a deployment gap: institutions must offer scalable remote assessment while avoiding the regulatory and ethical risks of biometric surveillance.</w:t>
      </w:r>
    </w:p>
    <w:p>
      <w:pPr>
        <w:spacing w:before="160" w:after="80"/>
      </w:pPr>
      <w:r>
        <w:rPr>
          <w:rFonts w:ascii="Times New Roman" w:hAnsi="Times New Roman" w:cs="Times New Roman"/>
          <w:b/>
          <w:i w:val="0"/>
          <w:sz w:val="24"/>
        </w:rPr>
        <w:t>1.2 Research Gap</w:t>
      </w:r>
    </w:p>
    <w:p>
      <w:pPr>
        <w:spacing w:after="80" w:line="288" w:lineRule="auto"/>
      </w:pPr>
      <w:r>
        <w:rPr>
          <w:rFonts w:ascii="Times New Roman" w:hAnsi="Times New Roman" w:cs="Times New Roman"/>
          <w:b w:val="0"/>
          <w:i w:val="0"/>
          <w:sz w:val="22"/>
        </w:rPr>
        <w:t>A thorough literature review (Section 2) reveals three structural limitations of the current state of the art:</w:t>
      </w:r>
    </w:p>
    <w:p>
      <w:pPr>
        <w:pStyle w:val="ListNumber"/>
      </w:pPr>
      <w:r>
        <w:rPr>
          <w:rFonts w:ascii="Times New Roman" w:hAnsi="Times New Roman" w:cs="Times New Roman"/>
          <w:b/>
          <w:i w:val="0"/>
          <w:sz w:val="22"/>
        </w:rPr>
        <w:t>Identity-bound monitoring.</w:t>
      </w:r>
      <w:r>
        <w:rPr>
          <w:rFonts w:ascii="Times New Roman" w:hAnsi="Times New Roman" w:cs="Times New Roman"/>
          <w:b w:val="0"/>
          <w:i w:val="0"/>
          <w:sz w:val="22"/>
        </w:rPr>
        <w:t xml:space="preserve"> Existing AI-driven proctoring frameworks overwhelmingly rely on biometric identification —- face embeddings, voiceprints, or behavioural biometrics such as keystroke dynamics —- creating both legal and ethical exposure.</w:t>
      </w:r>
    </w:p>
    <w:p>
      <w:pPr>
        <w:pStyle w:val="ListNumber"/>
      </w:pPr>
      <w:r>
        <w:rPr>
          <w:rFonts w:ascii="Times New Roman" w:hAnsi="Times New Roman" w:cs="Times New Roman"/>
          <w:b/>
          <w:i w:val="0"/>
          <w:sz w:val="22"/>
        </w:rPr>
        <w:t>Raw-media retention.</w:t>
      </w:r>
      <w:r>
        <w:rPr>
          <w:rFonts w:ascii="Times New Roman" w:hAnsi="Times New Roman" w:cs="Times New Roman"/>
          <w:b w:val="0"/>
          <w:i w:val="0"/>
          <w:sz w:val="22"/>
        </w:rPr>
        <w:t xml:space="preserve"> Even systems that nominally avoid biometric matching frequently store the underlying video or audio for human review, exposing institutions to significant data-protection liability.</w:t>
      </w:r>
    </w:p>
    <w:p>
      <w:pPr>
        <w:pStyle w:val="ListNumber"/>
      </w:pPr>
      <w:r>
        <w:rPr>
          <w:rFonts w:ascii="Times New Roman" w:hAnsi="Times New Roman" w:cs="Times New Roman"/>
          <w:b/>
          <w:i w:val="0"/>
          <w:sz w:val="22"/>
        </w:rPr>
        <w:t>Lack of quantitative privacy guarantees.</w:t>
      </w:r>
      <w:r>
        <w:rPr>
          <w:rFonts w:ascii="Times New Roman" w:hAnsi="Times New Roman" w:cs="Times New Roman"/>
          <w:b w:val="0"/>
          <w:i w:val="0"/>
          <w:sz w:val="22"/>
        </w:rPr>
        <w:t xml:space="preserve"> When privacy is claimed, the claim is usually based on the absence of certain components (e.g. no face recognition) rather than on adversarial verification that the released signals cannot be inverted to recover sensitive information.</w:t>
      </w:r>
    </w:p>
    <w:p>
      <w:pPr>
        <w:spacing w:before="160" w:after="80"/>
      </w:pPr>
      <w:r>
        <w:rPr>
          <w:rFonts w:ascii="Times New Roman" w:hAnsi="Times New Roman" w:cs="Times New Roman"/>
          <w:b/>
          <w:i w:val="0"/>
          <w:sz w:val="24"/>
        </w:rPr>
        <w:t>1.3 Contributions</w:t>
      </w:r>
    </w:p>
    <w:p>
      <w:pPr>
        <w:spacing w:after="80" w:line="288" w:lineRule="auto"/>
      </w:pPr>
      <w:r>
        <w:rPr>
          <w:rFonts w:ascii="Times New Roman" w:hAnsi="Times New Roman" w:cs="Times New Roman"/>
          <w:b w:val="0"/>
          <w:i w:val="0"/>
          <w:sz w:val="22"/>
        </w:rPr>
        <w:t>This paper addresses the gap above by presenting a privacy-by-design multi-modal proctoring framework with the following contributions:</w:t>
      </w:r>
    </w:p>
    <w:p>
      <w:pPr>
        <w:pStyle w:val="ListBullet"/>
      </w:pPr>
      <w:r>
        <w:rPr>
          <w:rFonts w:ascii="Times New Roman" w:hAnsi="Times New Roman" w:cs="Times New Roman"/>
          <w:b/>
          <w:i w:val="0"/>
          <w:sz w:val="22"/>
        </w:rPr>
        <w:t>Architectural contribution.</w:t>
      </w:r>
      <w:r>
        <w:rPr>
          <w:rFonts w:ascii="Times New Roman" w:hAnsi="Times New Roman" w:cs="Times New Roman"/>
          <w:b w:val="0"/>
          <w:i w:val="0"/>
          <w:sz w:val="22"/>
        </w:rPr>
        <w:t xml:space="preserve"> A modular pipeline that combines YOLOv8-s, MediaPipe FaceMesh, and a content-free configuration of Whisper-Base, where every modality outputs only numerical metadata. Raw frames and audio buffers are discarded after each inference cycle, and no biometric template is ever stored.</w:t>
      </w:r>
    </w:p>
    <w:p>
      <w:pPr>
        <w:pStyle w:val="ListBullet"/>
      </w:pPr>
      <w:r>
        <w:rPr>
          <w:rFonts w:ascii="Times New Roman" w:hAnsi="Times New Roman" w:cs="Times New Roman"/>
          <w:b/>
          <w:i w:val="0"/>
          <w:sz w:val="22"/>
        </w:rPr>
        <w:t>Algorithmic contribution.</w:t>
      </w:r>
      <w:r>
        <w:rPr>
          <w:rFonts w:ascii="Times New Roman" w:hAnsi="Times New Roman" w:cs="Times New Roman"/>
          <w:b w:val="0"/>
          <w:i w:val="0"/>
          <w:sz w:val="22"/>
        </w:rPr>
        <w:t xml:space="preserve"> A Suspicion Index Fusion Model whose parameterisation is identified empirically through a comparison of five alternative strategies (weighted sum, logistic regression, random forest, multi-layer perceptron, naive Bayes), evaluated with stratified 5-fold cross-validation, 95% bootstrap confidence intervals, leave-one-modality-out ablations, and McNemar significance tests.</w:t>
      </w:r>
    </w:p>
    <w:p>
      <w:pPr>
        <w:pStyle w:val="ListBullet"/>
      </w:pPr>
      <w:r>
        <w:rPr>
          <w:rFonts w:ascii="Times New Roman" w:hAnsi="Times New Roman" w:cs="Times New Roman"/>
          <w:b/>
          <w:i w:val="0"/>
          <w:sz w:val="22"/>
        </w:rPr>
        <w:t>Empirical contribution.</w:t>
      </w:r>
      <w:r>
        <w:rPr>
          <w:rFonts w:ascii="Times New Roman" w:hAnsi="Times New Roman" w:cs="Times New Roman"/>
          <w:b w:val="0"/>
          <w:i w:val="0"/>
          <w:sz w:val="22"/>
        </w:rPr>
        <w:t xml:space="preserve"> End-to-end evaluation on real data: 217 real COCO val2017 images for the visual subsystem; 400 LibriSpeech-derived clips of real read English speech for the acoustic subsystem; 400 behavioural trajectories built from real MediaPipe FaceMesh landmarks extracted from 10 CC-BY Pexels portraits; and 300 fusion-evaluation sessions whose feature vectors are </w:t>
      </w:r>
      <w:r>
        <w:rPr>
          <w:rFonts w:ascii="Times New Roman" w:hAnsi="Times New Roman" w:cs="Times New Roman"/>
          <w:b w:val="0"/>
          <w:i/>
          <w:sz w:val="22"/>
        </w:rPr>
        <w:t>real</w:t>
      </w:r>
      <w:r>
        <w:rPr>
          <w:rFonts w:ascii="Times New Roman" w:hAnsi="Times New Roman" w:cs="Times New Roman"/>
          <w:b w:val="0"/>
          <w:i w:val="0"/>
          <w:sz w:val="22"/>
        </w:rPr>
        <w:t xml:space="preserve"> outputs of the three modality encoders. Latency benchmarks on an Apple M4 Max Mac Studio host with both GPU/MPS and CPU-only configurations and a robustness study across lighting, distance, and signal-to-noise variations complete the protocol.</w:t>
      </w:r>
    </w:p>
    <w:p>
      <w:pPr>
        <w:pStyle w:val="ListBullet"/>
      </w:pPr>
      <w:r>
        <w:rPr>
          <w:rFonts w:ascii="Times New Roman" w:hAnsi="Times New Roman" w:cs="Times New Roman"/>
          <w:b/>
          <w:i w:val="0"/>
          <w:sz w:val="22"/>
        </w:rPr>
        <w:t>Privacy contribution.</w:t>
      </w:r>
      <w:r>
        <w:rPr>
          <w:rFonts w:ascii="Times New Roman" w:hAnsi="Times New Roman" w:cs="Times New Roman"/>
          <w:b w:val="0"/>
          <w:i w:val="0"/>
          <w:sz w:val="22"/>
        </w:rPr>
        <w:t xml:space="preserve"> An adversarial verification experiment using 30 real LibriSpeech speakers shows that the metadata stream cannot be inverted to re-identify candidates (AUC = 0.478, sub-chance) while the conventional raw-media analogue exposes near-perfect re-identification (AUC = 0.994). To the best of the authors' knowledge no prior proctoring paper provides such quantitative adversarial-privacy evidence on real speaker data.</w:t>
      </w:r>
    </w:p>
    <w:p>
      <w:pPr>
        <w:spacing w:before="160" w:after="80"/>
      </w:pPr>
      <w:r>
        <w:rPr>
          <w:rFonts w:ascii="Times New Roman" w:hAnsi="Times New Roman" w:cs="Times New Roman"/>
          <w:b/>
          <w:i w:val="0"/>
          <w:sz w:val="24"/>
        </w:rPr>
        <w:t>1.4 Paper Organisation</w:t>
      </w:r>
    </w:p>
    <w:p>
      <w:pPr>
        <w:spacing w:after="80" w:line="288" w:lineRule="auto"/>
      </w:pPr>
      <w:r>
        <w:rPr>
          <w:rFonts w:ascii="Times New Roman" w:hAnsi="Times New Roman" w:cs="Times New Roman"/>
          <w:b w:val="0"/>
          <w:i w:val="0"/>
          <w:sz w:val="22"/>
        </w:rPr>
        <w:t>Section 2 reviews the related literature using a structured matrix that classifies prior work along biometric, retention, multi-modality, and compliance axes. Section 3 introduces the system architecture and Section 4 details the methodology, including the formal definition of the Suspicion Index. Section 5 reports the experimental setup. Section 6 presents the empirical results, including per-modality metrics, fusion comparison, robustness, latency, and adversarial privacy verification. Section 7 discusses implications, threats to validity, and deployment considerations. Section 8 surveys limitations, and Section 9 concludes.</w:t>
      </w:r>
    </w:p>
    <w:p>
      <w:pPr>
        <w:spacing w:before="160" w:after="80"/>
      </w:pPr>
      <w:r>
        <w:rPr>
          <w:rFonts w:ascii="Times New Roman" w:hAnsi="Times New Roman" w:cs="Times New Roman"/>
          <w:b/>
          <w:i w:val="0"/>
          <w:sz w:val="28"/>
        </w:rPr>
        <w:t>2. Related Work</w:t>
      </w:r>
    </w:p>
    <w:p>
      <w:pPr>
        <w:spacing w:after="80" w:line="288" w:lineRule="auto"/>
      </w:pPr>
      <w:r>
        <w:rPr>
          <w:rFonts w:ascii="Times New Roman" w:hAnsi="Times New Roman" w:cs="Times New Roman"/>
          <w:b w:val="0"/>
          <w:i w:val="0"/>
          <w:sz w:val="22"/>
        </w:rPr>
        <w:t>We classify the prior literature along five orthogonal axes that are relevant for compliant deployment:</w:t>
      </w:r>
    </w:p>
    <w:p>
      <w:pPr>
        <w:pStyle w:val="ListBullet"/>
      </w:pPr>
      <w:r>
        <w:rPr>
          <w:rFonts w:ascii="Times New Roman" w:hAnsi="Times New Roman" w:cs="Times New Roman"/>
          <w:b w:val="0"/>
          <w:i w:val="0"/>
          <w:sz w:val="22"/>
        </w:rPr>
        <w:t>(V) Vision-based proctoring,</w:t>
      </w:r>
    </w:p>
    <w:p>
      <w:pPr>
        <w:pStyle w:val="ListBullet"/>
      </w:pPr>
      <w:r>
        <w:rPr>
          <w:rFonts w:ascii="Times New Roman" w:hAnsi="Times New Roman" w:cs="Times New Roman"/>
          <w:b w:val="0"/>
          <w:i w:val="0"/>
          <w:sz w:val="22"/>
        </w:rPr>
        <w:t>(A) Audio-based proctoring,</w:t>
      </w:r>
    </w:p>
    <w:p>
      <w:pPr>
        <w:pStyle w:val="ListBullet"/>
      </w:pPr>
      <w:r>
        <w:rPr>
          <w:rFonts w:ascii="Times New Roman" w:hAnsi="Times New Roman" w:cs="Times New Roman"/>
          <w:b w:val="0"/>
          <w:i w:val="0"/>
          <w:sz w:val="22"/>
        </w:rPr>
        <w:t>(M) Multi-modal proctoring,</w:t>
      </w:r>
    </w:p>
    <w:p>
      <w:pPr>
        <w:pStyle w:val="ListBullet"/>
      </w:pPr>
      <w:r>
        <w:rPr>
          <w:rFonts w:ascii="Times New Roman" w:hAnsi="Times New Roman" w:cs="Times New Roman"/>
          <w:b w:val="0"/>
          <w:i w:val="0"/>
          <w:sz w:val="22"/>
        </w:rPr>
        <w:t>(B) Behavioural biometrics (keystroke, mouse dynamics),</w:t>
      </w:r>
    </w:p>
    <w:p>
      <w:pPr>
        <w:pStyle w:val="ListBullet"/>
      </w:pPr>
      <w:r>
        <w:rPr>
          <w:rFonts w:ascii="Times New Roman" w:hAnsi="Times New Roman" w:cs="Times New Roman"/>
          <w:b w:val="0"/>
          <w:i w:val="0"/>
          <w:sz w:val="22"/>
        </w:rPr>
        <w:t>(P) Privacy-preserving and federated approaches.</w:t>
      </w:r>
    </w:p>
    <w:p>
      <w:pPr>
        <w:spacing w:before="160" w:after="80"/>
      </w:pPr>
      <w:r>
        <w:rPr>
          <w:rFonts w:ascii="Times New Roman" w:hAnsi="Times New Roman" w:cs="Times New Roman"/>
          <w:b/>
          <w:i w:val="0"/>
          <w:sz w:val="24"/>
        </w:rPr>
        <w:t>2.1 Vision-based Systems (V)</w:t>
      </w:r>
    </w:p>
    <w:p>
      <w:pPr>
        <w:spacing w:after="80" w:line="288" w:lineRule="auto"/>
      </w:pPr>
      <w:r>
        <w:rPr>
          <w:rFonts w:ascii="Times New Roman" w:hAnsi="Times New Roman" w:cs="Times New Roman"/>
          <w:b w:val="0"/>
          <w:i w:val="0"/>
          <w:sz w:val="22"/>
        </w:rPr>
        <w:t>Early proctoring solutions rely heavily on computer vision pipelines that authenticate the candidate's identity and monitor behavioural irregularities. Atoum et al. [8] introduced one of the first end-to-end automated proctoring systems combining gaze tracking, head pose estimation, and continuous face verification on the basis of webcam imagery and a wearable secondary camera. The systematic review of Nigam et al. [9] documents 39 follow-up systems that build on this paradigm, typically combining convolutional networks for face/gaze monitoring with rule-based decision layers. More recent contributions explored YOLO-based detectors for prohibited objects [10], [11], building on the YOLO family of architectures [13], [33], [34]. Singh et al. [10] in particular reported a YOLO-based proctoring pipeline targeted at smartphone and book detection in controlled lighting conditions, while Vishal et al. [11] integrate gaze tracking with prohibited-object detection in a unified PyTorch pipeline. A central limitation of these vision-based pipelines is the dependence on persistent face templates and raw-video archives, which place them squarely within the GDPR Article 9 special-category regime [4].</w:t>
      </w:r>
    </w:p>
    <w:p>
      <w:pPr>
        <w:spacing w:after="80" w:line="288" w:lineRule="auto"/>
      </w:pPr>
      <w:r>
        <w:rPr>
          <w:rFonts w:ascii="Times New Roman" w:hAnsi="Times New Roman" w:cs="Times New Roman"/>
          <w:b w:val="0"/>
          <w:i w:val="0"/>
          <w:sz w:val="22"/>
        </w:rPr>
        <w:t>These approaches share an important limitation: they require either persistent biometric templates (face embeddings) or extensive raw-video retention, both of which conflict with GDPR Article 9 and CNDP Law 09-08.</w:t>
      </w:r>
    </w:p>
    <w:p>
      <w:pPr>
        <w:spacing w:before="160" w:after="80"/>
      </w:pPr>
      <w:r>
        <w:rPr>
          <w:rFonts w:ascii="Times New Roman" w:hAnsi="Times New Roman" w:cs="Times New Roman"/>
          <w:b/>
          <w:i w:val="0"/>
          <w:sz w:val="24"/>
        </w:rPr>
        <w:t>2.2 Audio-based Systems (A)</w:t>
      </w:r>
    </w:p>
    <w:p>
      <w:pPr>
        <w:spacing w:after="80" w:line="288" w:lineRule="auto"/>
      </w:pPr>
      <w:r>
        <w:rPr>
          <w:rFonts w:ascii="Times New Roman" w:hAnsi="Times New Roman" w:cs="Times New Roman"/>
          <w:b w:val="0"/>
          <w:i w:val="0"/>
          <w:sz w:val="22"/>
        </w:rPr>
        <w:t>Audio-driven proctoring monitors the acoustic environment for unauthorised collaboration. Overlapped-speech detection and speaker-change segmentation are typical building blocks, with Jung et al. [20] reporting state-of-the-art three-class (non-speech / single-speaker / overlapped-speech) detection using a CRNN architecture. Whisper [16] has been used in several recent works to transcribe audio in real time for proctoring or learner-analytics use cases. Although accurate, transcription-based pipelines necessarily reveal linguistic content, which qualifies as sensitive personal data when combined with student identifiers [7]. Content-free audio anomaly detection — based on spectral statistics or self-supervised speech encoders such as the x-vector family [21] — has been explored mostly in adjacent fields (broadcast media, telephony [22]) and remains underused in proctoring.</w:t>
      </w:r>
    </w:p>
    <w:p>
      <w:pPr>
        <w:spacing w:before="160" w:after="80"/>
      </w:pPr>
      <w:r>
        <w:rPr>
          <w:rFonts w:ascii="Times New Roman" w:hAnsi="Times New Roman" w:cs="Times New Roman"/>
          <w:b/>
          <w:i w:val="0"/>
          <w:sz w:val="24"/>
        </w:rPr>
        <w:t>2.3 Multi-modal Systems (M)</w:t>
      </w:r>
    </w:p>
    <w:p>
      <w:pPr>
        <w:spacing w:after="80" w:line="288" w:lineRule="auto"/>
      </w:pPr>
      <w:r>
        <w:rPr>
          <w:rFonts w:ascii="Times New Roman" w:hAnsi="Times New Roman" w:cs="Times New Roman"/>
          <w:b w:val="0"/>
          <w:i w:val="0"/>
          <w:sz w:val="22"/>
        </w:rPr>
        <w:t>Multi-modal architectures combine video, audio, and user-interaction telemetry. Masud et al. [12] propose a smart proctoring assistant fusing webcam, microphone, and screen-recording, reporting an aggregate accuracy of 97.7% over four event categories. Although these systems demonstrate higher robustness, they generally inherit the privacy issues of their constituents: every modality is fed in raw form into a centralised model and stored. The systematic review of Nigam et al. [9] reports that the vast majority of the surveyed AI-based proctoring systems perform no explicit data minimisation, and that ethical and legal considerations are typically treated as deployment afterthoughts rather than as constraints on the architecture itself.</w:t>
      </w:r>
    </w:p>
    <w:p>
      <w:pPr>
        <w:spacing w:before="160" w:after="80"/>
      </w:pPr>
      <w:r>
        <w:rPr>
          <w:rFonts w:ascii="Times New Roman" w:hAnsi="Times New Roman" w:cs="Times New Roman"/>
          <w:b/>
          <w:i w:val="0"/>
          <w:sz w:val="24"/>
        </w:rPr>
        <w:t>2.4 Behavioural Biometrics (B)</w:t>
      </w:r>
    </w:p>
    <w:p>
      <w:pPr>
        <w:spacing w:after="80" w:line="288" w:lineRule="auto"/>
      </w:pPr>
      <w:r>
        <w:rPr>
          <w:rFonts w:ascii="Times New Roman" w:hAnsi="Times New Roman" w:cs="Times New Roman"/>
          <w:b w:val="0"/>
          <w:i w:val="0"/>
          <w:sz w:val="22"/>
        </w:rPr>
        <w:t>Behavioural biometric pipelines analyse keystroke dynamics [30], mouse-movement and touch-gesture patterns [31], and eye-tracking signatures to authenticate the candidate. While more passive than facial recognition, these signals are still classified as personal data under GDPR [4] when combined with an identifier, because they support identification with non-trivial accuracy. Our framework explicitly excludes keystroke biometrics for that reason.</w:t>
      </w:r>
    </w:p>
    <w:p>
      <w:pPr>
        <w:spacing w:before="160" w:after="80"/>
      </w:pPr>
      <w:r>
        <w:rPr>
          <w:rFonts w:ascii="Times New Roman" w:hAnsi="Times New Roman" w:cs="Times New Roman"/>
          <w:b/>
          <w:i w:val="0"/>
          <w:sz w:val="24"/>
        </w:rPr>
        <w:t>2.5 Privacy-Preserving Approaches (P)</w:t>
      </w:r>
    </w:p>
    <w:p>
      <w:pPr>
        <w:spacing w:after="80" w:line="288" w:lineRule="auto"/>
      </w:pPr>
      <w:r>
        <w:rPr>
          <w:rFonts w:ascii="Times New Roman" w:hAnsi="Times New Roman" w:cs="Times New Roman"/>
          <w:b w:val="0"/>
          <w:i w:val="0"/>
          <w:sz w:val="22"/>
        </w:rPr>
        <w:t>A small but growing body of work explores privacy-preserving online assessment. Federated learning [25] and secure aggregation protocols [26] have been proposed to keep video and behavioural data local to the candidate device, but they do not in themselves prevent biometric processing — they merely change where the processing happens. Differentially private gaze pipelines [27], [28], [29] add noise to gaze coordinates or sensor outputs to bound information leakage; the trade-off between detection accuracy and privacy budget is, however, severe and the protocols are often evaluated on offline gaze datasets rather than under real-time exam constraints. To the best of the authors' knowledge, no prior proctoring framework simultaneously avoids biometric retention, supports real-time multi-modal monitoring, and provides quantitative adversarial-privacy evidence; the present work fills that gap.</w:t>
      </w:r>
    </w:p>
    <w:p>
      <w:pPr>
        <w:spacing w:before="160" w:after="80"/>
      </w:pPr>
      <w:r>
        <w:rPr>
          <w:rFonts w:ascii="Times New Roman" w:hAnsi="Times New Roman" w:cs="Times New Roman"/>
          <w:b/>
          <w:i w:val="0"/>
          <w:sz w:val="24"/>
        </w:rPr>
        <w:t>2.6 Synthesis</w:t>
      </w:r>
    </w:p>
    <w:p>
      <w:pPr>
        <w:spacing w:after="80" w:line="288" w:lineRule="auto"/>
      </w:pPr>
      <w:r>
        <w:rPr>
          <w:rFonts w:ascii="Times New Roman" w:hAnsi="Times New Roman" w:cs="Times New Roman"/>
          <w:b w:val="0"/>
          <w:i w:val="0"/>
          <w:sz w:val="22"/>
        </w:rPr>
        <w:t>Table 1 summarizes the literature using the axes introduced above. None of the surveyed systems simultaneously (i) avoids biometric retention, (ii) supports real-time multi-modal monitoring, and (iii) provides quantitative adversarial privacy evidence. This is the gap we address.</w:t>
      </w:r>
    </w:p>
    <w:p>
      <w:pPr>
        <w:spacing w:after="80" w:line="288" w:lineRule="auto"/>
      </w:pPr>
      <w:r>
        <w:rPr>
          <w:rFonts w:ascii="Times New Roman" w:hAnsi="Times New Roman" w:cs="Times New Roman"/>
          <w:b/>
          <w:i w:val="0"/>
          <w:sz w:val="22"/>
        </w:rPr>
        <w:t>Table 1. Comparison of representative proctoring systems against the proposed framework. "V/A/M/B/P" denote vision, audio, multi-modal, behavioural-biometric and privacy-preserving categories.</w:t>
      </w:r>
    </w:p>
    <w:tbl>
      <w:tblPr>
        <w:tblStyle w:val="LightGrid-Accent1"/>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07"/>
            <w:vAlign w:val="center"/>
          </w:tcPr>
          <w:p>
            <w:r/>
            <w:r>
              <w:rPr>
                <w:rFonts w:ascii="Times New Roman" w:hAnsi="Times New Roman" w:cs="Times New Roman"/>
                <w:b/>
                <w:i w:val="0"/>
                <w:sz w:val="20"/>
              </w:rPr>
              <w:t>Work</w:t>
            </w:r>
          </w:p>
        </w:tc>
        <w:tc>
          <w:tcPr>
            <w:tcW w:type="dxa" w:w="907"/>
            <w:vAlign w:val="center"/>
          </w:tcPr>
          <w:p>
            <w:r/>
            <w:r>
              <w:rPr>
                <w:rFonts w:ascii="Times New Roman" w:hAnsi="Times New Roman" w:cs="Times New Roman"/>
                <w:b/>
                <w:i w:val="0"/>
                <w:sz w:val="20"/>
              </w:rPr>
              <w:t>V</w:t>
            </w:r>
          </w:p>
        </w:tc>
        <w:tc>
          <w:tcPr>
            <w:tcW w:type="dxa" w:w="907"/>
            <w:vAlign w:val="center"/>
          </w:tcPr>
          <w:p>
            <w:r/>
            <w:r>
              <w:rPr>
                <w:rFonts w:ascii="Times New Roman" w:hAnsi="Times New Roman" w:cs="Times New Roman"/>
                <w:b/>
                <w:i w:val="0"/>
                <w:sz w:val="20"/>
              </w:rPr>
              <w:t>A</w:t>
            </w:r>
          </w:p>
        </w:tc>
        <w:tc>
          <w:tcPr>
            <w:tcW w:type="dxa" w:w="907"/>
            <w:vAlign w:val="center"/>
          </w:tcPr>
          <w:p>
            <w:r/>
            <w:r>
              <w:rPr>
                <w:rFonts w:ascii="Times New Roman" w:hAnsi="Times New Roman" w:cs="Times New Roman"/>
                <w:b/>
                <w:i w:val="0"/>
                <w:sz w:val="20"/>
              </w:rPr>
              <w:t>M</w:t>
            </w:r>
          </w:p>
        </w:tc>
        <w:tc>
          <w:tcPr>
            <w:tcW w:type="dxa" w:w="907"/>
            <w:vAlign w:val="center"/>
          </w:tcPr>
          <w:p>
            <w:r/>
            <w:r>
              <w:rPr>
                <w:rFonts w:ascii="Times New Roman" w:hAnsi="Times New Roman" w:cs="Times New Roman"/>
                <w:b/>
                <w:i w:val="0"/>
                <w:sz w:val="20"/>
              </w:rPr>
              <w:t>B</w:t>
            </w:r>
          </w:p>
        </w:tc>
        <w:tc>
          <w:tcPr>
            <w:tcW w:type="dxa" w:w="907"/>
            <w:vAlign w:val="center"/>
          </w:tcPr>
          <w:p>
            <w:r/>
            <w:r>
              <w:rPr>
                <w:rFonts w:ascii="Times New Roman" w:hAnsi="Times New Roman" w:cs="Times New Roman"/>
                <w:b/>
                <w:i w:val="0"/>
                <w:sz w:val="20"/>
              </w:rPr>
              <w:t>P</w:t>
            </w:r>
          </w:p>
        </w:tc>
        <w:tc>
          <w:tcPr>
            <w:tcW w:type="dxa" w:w="907"/>
            <w:vAlign w:val="center"/>
          </w:tcPr>
          <w:p>
            <w:r/>
            <w:r>
              <w:rPr>
                <w:rFonts w:ascii="Times New Roman" w:hAnsi="Times New Roman" w:cs="Times New Roman"/>
                <w:b/>
                <w:i w:val="0"/>
                <w:sz w:val="20"/>
              </w:rPr>
              <w:t>Biometric template stored</w:t>
            </w:r>
          </w:p>
        </w:tc>
        <w:tc>
          <w:tcPr>
            <w:tcW w:type="dxa" w:w="907"/>
            <w:vAlign w:val="center"/>
          </w:tcPr>
          <w:p>
            <w:r/>
            <w:r>
              <w:rPr>
                <w:rFonts w:ascii="Times New Roman" w:hAnsi="Times New Roman" w:cs="Times New Roman"/>
                <w:b/>
                <w:i w:val="0"/>
                <w:sz w:val="20"/>
              </w:rPr>
              <w:t>Raw media retained</w:t>
            </w:r>
          </w:p>
        </w:tc>
        <w:tc>
          <w:tcPr>
            <w:tcW w:type="dxa" w:w="907"/>
            <w:vAlign w:val="center"/>
          </w:tcPr>
          <w:p>
            <w:r/>
            <w:r>
              <w:rPr>
                <w:rFonts w:ascii="Times New Roman" w:hAnsi="Times New Roman" w:cs="Times New Roman"/>
                <w:b/>
                <w:i w:val="0"/>
                <w:sz w:val="20"/>
              </w:rPr>
              <w:t>Real-time</w:t>
            </w:r>
          </w:p>
        </w:tc>
        <w:tc>
          <w:tcPr>
            <w:tcW w:type="dxa" w:w="907"/>
            <w:vAlign w:val="center"/>
          </w:tcPr>
          <w:p>
            <w:r/>
            <w:r>
              <w:rPr>
                <w:rFonts w:ascii="Times New Roman" w:hAnsi="Times New Roman" w:cs="Times New Roman"/>
                <w:b/>
                <w:i w:val="0"/>
                <w:sz w:val="20"/>
              </w:rPr>
              <w:t>Quantitative privacy proof</w:t>
            </w:r>
          </w:p>
        </w:tc>
        <w:tc>
          <w:tcPr>
            <w:tcW w:type="dxa" w:w="907"/>
            <w:vAlign w:val="center"/>
          </w:tcPr>
          <w:p>
            <w:r/>
            <w:r>
              <w:rPr>
                <w:rFonts w:ascii="Times New Roman" w:hAnsi="Times New Roman" w:cs="Times New Roman"/>
                <w:b/>
                <w:i w:val="0"/>
                <w:sz w:val="20"/>
              </w:rPr>
              <w:t>GDPR / CNDP alignment</w:t>
            </w:r>
          </w:p>
        </w:tc>
      </w:tr>
      <w:tr>
        <w:tc>
          <w:tcPr>
            <w:tcW w:type="dxa" w:w="907"/>
            <w:vAlign w:val="center"/>
          </w:tcPr>
          <w:p>
            <w:r/>
            <w:r>
              <w:rPr>
                <w:rFonts w:ascii="Times New Roman" w:hAnsi="Times New Roman" w:cs="Times New Roman"/>
                <w:b w:val="0"/>
                <w:i w:val="0"/>
                <w:sz w:val="20"/>
              </w:rPr>
              <w:t>Atoum et al. (2017) [8]</w:t>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No</w:t>
            </w:r>
          </w:p>
        </w:tc>
      </w:tr>
      <w:tr>
        <w:tc>
          <w:tcPr>
            <w:tcW w:type="dxa" w:w="907"/>
            <w:vAlign w:val="center"/>
          </w:tcPr>
          <w:p>
            <w:r/>
            <w:r>
              <w:rPr>
                <w:rFonts w:ascii="Times New Roman" w:hAnsi="Times New Roman" w:cs="Times New Roman"/>
                <w:b w:val="0"/>
                <w:i w:val="0"/>
                <w:sz w:val="20"/>
              </w:rPr>
              <w:t>Singh et al. (2024) [10]</w:t>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No</w:t>
            </w:r>
          </w:p>
        </w:tc>
      </w:tr>
      <w:tr>
        <w:tc>
          <w:tcPr>
            <w:tcW w:type="dxa" w:w="907"/>
            <w:vAlign w:val="center"/>
          </w:tcPr>
          <w:p>
            <w:r/>
            <w:r>
              <w:rPr>
                <w:rFonts w:ascii="Times New Roman" w:hAnsi="Times New Roman" w:cs="Times New Roman"/>
                <w:b w:val="0"/>
                <w:i w:val="0"/>
                <w:sz w:val="20"/>
              </w:rPr>
              <w:t>Vishal et al. (2025) [11]</w:t>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No</w:t>
            </w:r>
          </w:p>
        </w:tc>
      </w:tr>
      <w:tr>
        <w:tc>
          <w:tcPr>
            <w:tcW w:type="dxa" w:w="907"/>
            <w:vAlign w:val="center"/>
          </w:tcPr>
          <w:p>
            <w:r/>
            <w:r>
              <w:rPr>
                <w:rFonts w:ascii="Times New Roman" w:hAnsi="Times New Roman" w:cs="Times New Roman"/>
                <w:b w:val="0"/>
                <w:i w:val="0"/>
                <w:sz w:val="20"/>
              </w:rPr>
              <w:t>Jung et al. (2021) [20]</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Voiceprint context</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Partial</w:t>
            </w:r>
          </w:p>
        </w:tc>
      </w:tr>
      <w:tr>
        <w:tc>
          <w:tcPr>
            <w:tcW w:type="dxa" w:w="907"/>
            <w:vAlign w:val="center"/>
          </w:tcPr>
          <w:p>
            <w:r/>
            <w:r>
              <w:rPr>
                <w:rFonts w:ascii="Times New Roman" w:hAnsi="Times New Roman" w:cs="Times New Roman"/>
                <w:b w:val="0"/>
                <w:i w:val="0"/>
                <w:sz w:val="20"/>
              </w:rPr>
              <w:t>Masud et al. (2022) [12]</w:t>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No</w:t>
            </w:r>
          </w:p>
        </w:tc>
      </w:tr>
      <w:tr>
        <w:tc>
          <w:tcPr>
            <w:tcW w:type="dxa" w:w="907"/>
            <w:vAlign w:val="center"/>
          </w:tcPr>
          <w:p>
            <w:r/>
            <w:r>
              <w:rPr>
                <w:rFonts w:ascii="Times New Roman" w:hAnsi="Times New Roman" w:cs="Times New Roman"/>
                <w:b w:val="0"/>
                <w:i w:val="0"/>
                <w:sz w:val="20"/>
              </w:rPr>
              <w:t>McMahan et al. (2017) — FedAvg [25]</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t>n/a (framework)</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Partial</w:t>
            </w:r>
          </w:p>
        </w:tc>
      </w:tr>
      <w:tr>
        <w:tc>
          <w:tcPr>
            <w:tcW w:type="dxa" w:w="907"/>
            <w:vAlign w:val="center"/>
          </w:tcPr>
          <w:p>
            <w:r/>
            <w:r>
              <w:rPr>
                <w:rFonts w:ascii="Times New Roman" w:hAnsi="Times New Roman" w:cs="Times New Roman"/>
                <w:b w:val="0"/>
                <w:i w:val="0"/>
                <w:sz w:val="20"/>
              </w:rPr>
              <w:t>Bonawitz et al. (2017) — SecAgg [26]</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t>n/a (framework)</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Yes</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Partial</w:t>
            </w:r>
          </w:p>
        </w:tc>
      </w:tr>
      <w:tr>
        <w:tc>
          <w:tcPr>
            <w:tcW w:type="dxa" w:w="907"/>
            <w:vAlign w:val="center"/>
          </w:tcPr>
          <w:p>
            <w:r/>
            <w:r>
              <w:rPr>
                <w:rFonts w:ascii="Times New Roman" w:hAnsi="Times New Roman" w:cs="Times New Roman"/>
                <w:b w:val="0"/>
                <w:i w:val="0"/>
                <w:sz w:val="20"/>
              </w:rPr>
              <w:t>Du et al. (2024) — PrivateGaze [27]</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t>Obfuscated</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Near real-time</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Partial</w:t>
            </w:r>
          </w:p>
        </w:tc>
      </w:tr>
      <w:tr>
        <w:tc>
          <w:tcPr>
            <w:tcW w:type="dxa" w:w="907"/>
            <w:vAlign w:val="center"/>
          </w:tcPr>
          <w:p>
            <w:r/>
            <w:r>
              <w:rPr>
                <w:rFonts w:ascii="Times New Roman" w:hAnsi="Times New Roman" w:cs="Times New Roman"/>
                <w:b w:val="0"/>
                <w:i w:val="0"/>
                <w:sz w:val="20"/>
              </w:rPr>
              <w:t>Bozkir et al. (2021) — DP eye-tracking [28]</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No</w:t>
            </w:r>
          </w:p>
        </w:tc>
        <w:tc>
          <w:tcPr>
            <w:tcW w:type="dxa" w:w="907"/>
            <w:vAlign w:val="center"/>
          </w:tcPr>
          <w:p>
            <w:r/>
            <w:r>
              <w:rPr>
                <w:rFonts w:ascii="Times New Roman" w:hAnsi="Times New Roman" w:cs="Times New Roman"/>
                <w:b w:val="0"/>
                <w:i w:val="0"/>
                <w:sz w:val="20"/>
              </w:rPr>
              <w:t>DP bound</w:t>
            </w:r>
          </w:p>
        </w:tc>
        <w:tc>
          <w:tcPr>
            <w:tcW w:type="dxa" w:w="907"/>
            <w:vAlign w:val="center"/>
          </w:tcPr>
          <w:p>
            <w:r/>
            <w:r>
              <w:rPr>
                <w:rFonts w:ascii="Times New Roman" w:hAnsi="Times New Roman" w:cs="Times New Roman"/>
                <w:b w:val="0"/>
                <w:i w:val="0"/>
                <w:sz w:val="20"/>
              </w:rPr>
              <w:t>Partial</w:t>
            </w:r>
          </w:p>
        </w:tc>
      </w:tr>
      <w:tr>
        <w:tc>
          <w:tcPr>
            <w:tcW w:type="dxa" w:w="907"/>
            <w:vAlign w:val="center"/>
          </w:tcPr>
          <w:p>
            <w:r/>
            <w:r>
              <w:rPr>
                <w:rFonts w:ascii="Times New Roman" w:hAnsi="Times New Roman" w:cs="Times New Roman"/>
                <w:b/>
                <w:i w:val="0"/>
                <w:sz w:val="20"/>
              </w:rPr>
              <w:t>This work</w:t>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val="0"/>
                <w:i w:val="0"/>
                <w:sz w:val="20"/>
              </w:rPr>
            </w:r>
          </w:p>
        </w:tc>
        <w:tc>
          <w:tcPr>
            <w:tcW w:type="dxa" w:w="907"/>
            <w:vAlign w:val="center"/>
          </w:tcPr>
          <w:p>
            <w:r/>
            <w:r>
              <w:rPr>
                <w:rFonts w:ascii="Times New Roman" w:hAnsi="Times New Roman" w:cs="Times New Roman"/>
                <w:b w:val="0"/>
                <w:i w:val="0"/>
                <w:sz w:val="20"/>
              </w:rPr>
              <w:t>✓</w:t>
            </w:r>
          </w:p>
        </w:tc>
        <w:tc>
          <w:tcPr>
            <w:tcW w:type="dxa" w:w="907"/>
            <w:vAlign w:val="center"/>
          </w:tcPr>
          <w:p>
            <w:r/>
            <w:r>
              <w:rPr>
                <w:rFonts w:ascii="Times New Roman" w:hAnsi="Times New Roman" w:cs="Times New Roman"/>
                <w:b/>
                <w:i w:val="0"/>
                <w:sz w:val="20"/>
              </w:rPr>
              <w:t>No</w:t>
            </w:r>
          </w:p>
        </w:tc>
        <w:tc>
          <w:tcPr>
            <w:tcW w:type="dxa" w:w="907"/>
            <w:vAlign w:val="center"/>
          </w:tcPr>
          <w:p>
            <w:r/>
            <w:r>
              <w:rPr>
                <w:rFonts w:ascii="Times New Roman" w:hAnsi="Times New Roman" w:cs="Times New Roman"/>
                <w:b/>
                <w:i w:val="0"/>
                <w:sz w:val="20"/>
              </w:rPr>
              <w:t>No</w:t>
            </w:r>
          </w:p>
        </w:tc>
        <w:tc>
          <w:tcPr>
            <w:tcW w:type="dxa" w:w="907"/>
            <w:vAlign w:val="center"/>
          </w:tcPr>
          <w:p>
            <w:r/>
            <w:r>
              <w:rPr>
                <w:rFonts w:ascii="Times New Roman" w:hAnsi="Times New Roman" w:cs="Times New Roman"/>
                <w:b/>
                <w:i w:val="0"/>
                <w:sz w:val="20"/>
              </w:rPr>
              <w:t>Yes</w:t>
            </w:r>
          </w:p>
        </w:tc>
        <w:tc>
          <w:tcPr>
            <w:tcW w:type="dxa" w:w="907"/>
            <w:vAlign w:val="center"/>
          </w:tcPr>
          <w:p>
            <w:r/>
            <w:r>
              <w:rPr>
                <w:rFonts w:ascii="Times New Roman" w:hAnsi="Times New Roman" w:cs="Times New Roman"/>
                <w:b/>
                <w:i w:val="0"/>
                <w:sz w:val="20"/>
              </w:rPr>
              <w:t>Yes (AUC 0.52)</w:t>
            </w:r>
          </w:p>
        </w:tc>
        <w:tc>
          <w:tcPr>
            <w:tcW w:type="dxa" w:w="907"/>
            <w:vAlign w:val="center"/>
          </w:tcPr>
          <w:p>
            <w:r/>
            <w:r>
              <w:rPr>
                <w:rFonts w:ascii="Times New Roman" w:hAnsi="Times New Roman" w:cs="Times New Roman"/>
                <w:b/>
                <w:i w:val="0"/>
                <w:sz w:val="20"/>
              </w:rPr>
              <w:t>Yes</w:t>
            </w:r>
          </w:p>
        </w:tc>
      </w:tr>
    </w:tbl>
    <w:p>
      <w:pPr>
        <w:spacing w:after="160"/>
      </w:pPr>
    </w:p>
    <w:p>
      <w:pPr>
        <w:spacing w:before="160" w:after="80"/>
      </w:pPr>
      <w:r>
        <w:rPr>
          <w:rFonts w:ascii="Times New Roman" w:hAnsi="Times New Roman" w:cs="Times New Roman"/>
          <w:b/>
          <w:i w:val="0"/>
          <w:sz w:val="28"/>
        </w:rPr>
        <w:t>3. System Architecture</w:t>
      </w:r>
    </w:p>
    <w:p>
      <w:pPr>
        <w:spacing w:before="160" w:after="80"/>
      </w:pPr>
      <w:r>
        <w:rPr>
          <w:rFonts w:ascii="Times New Roman" w:hAnsi="Times New Roman" w:cs="Times New Roman"/>
          <w:b/>
          <w:i w:val="0"/>
          <w:sz w:val="24"/>
        </w:rPr>
        <w:t>3.1 Design Principles</w:t>
      </w:r>
    </w:p>
    <w:p>
      <w:pPr>
        <w:spacing w:after="80" w:line="288" w:lineRule="auto"/>
      </w:pPr>
      <w:r>
        <w:rPr>
          <w:rFonts w:ascii="Times New Roman" w:hAnsi="Times New Roman" w:cs="Times New Roman"/>
          <w:b w:val="0"/>
          <w:i w:val="0"/>
          <w:sz w:val="22"/>
        </w:rPr>
        <w:t>The architecture follows two guiding principles motivated by Article 25 of GDPR ("Data protection by design and by default") and CNDP guidance note [6]:</w:t>
      </w:r>
    </w:p>
    <w:p>
      <w:pPr>
        <w:pStyle w:val="ListBullet"/>
      </w:pPr>
      <w:r>
        <w:rPr>
          <w:rFonts w:ascii="Times New Roman" w:hAnsi="Times New Roman" w:cs="Times New Roman"/>
          <w:b/>
          <w:i w:val="0"/>
          <w:sz w:val="22"/>
        </w:rPr>
        <w:t>Data minimisation.</w:t>
      </w:r>
      <w:r>
        <w:rPr>
          <w:rFonts w:ascii="Times New Roman" w:hAnsi="Times New Roman" w:cs="Times New Roman"/>
          <w:b w:val="0"/>
          <w:i w:val="0"/>
          <w:sz w:val="22"/>
        </w:rPr>
        <w:t xml:space="preserve"> The pipeline ingests volatile camera and microphone streams. Raw frames and audio buffers are discarded immediately after inference; only non-identifying numerical metadata is persisted.</w:t>
      </w:r>
    </w:p>
    <w:p>
      <w:pPr>
        <w:pStyle w:val="ListBullet"/>
      </w:pPr>
      <w:r>
        <w:rPr>
          <w:rFonts w:ascii="Times New Roman" w:hAnsi="Times New Roman" w:cs="Times New Roman"/>
          <w:b/>
          <w:i w:val="0"/>
          <w:sz w:val="22"/>
        </w:rPr>
        <w:t>Identity orthogonality.</w:t>
      </w:r>
      <w:r>
        <w:rPr>
          <w:rFonts w:ascii="Times New Roman" w:hAnsi="Times New Roman" w:cs="Times New Roman"/>
          <w:b w:val="0"/>
          <w:i w:val="0"/>
          <w:sz w:val="22"/>
        </w:rPr>
        <w:t xml:space="preserve"> No module performs identity recognition. Visual analysis is class-level (smartphones, books, persons) rather than person-level. Audio analysis is content-free, producing only secondary-speaker, overlap, and whisper probabilities.</w:t>
      </w:r>
    </w:p>
    <w:p>
      <w:pPr>
        <w:spacing w:after="80" w:line="288" w:lineRule="auto"/>
      </w:pPr>
      <w:r>
        <w:rPr>
          <w:rFonts w:ascii="Times New Roman" w:hAnsi="Times New Roman" w:cs="Times New Roman"/>
          <w:b w:val="0"/>
          <w:i w:val="0"/>
          <w:sz w:val="22"/>
        </w:rPr>
        <w:t>Figure 1 shows the end-to-end pipeline.</w:t>
      </w:r>
    </w:p>
    <w:p>
      <w:pPr>
        <w:spacing w:before="160" w:after="80"/>
      </w:pPr>
      <w:r>
        <w:rPr>
          <w:rFonts w:ascii="Times New Roman" w:hAnsi="Times New Roman" w:cs="Times New Roman"/>
          <w:b/>
          <w:i w:val="0"/>
          <w:sz w:val="24"/>
        </w:rPr>
        <w:t>3.2 Pipeline Overview</w:t>
      </w:r>
    </w:p>
    <w:p>
      <w:pPr>
        <w:jc w:val="center"/>
      </w:pPr>
      <w:r>
        <w:drawing>
          <wp:inline xmlns:a="http://schemas.openxmlformats.org/drawingml/2006/main" xmlns:pic="http://schemas.openxmlformats.org/drawingml/2006/picture">
            <wp:extent cx="5486400" cy="276494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2764944"/>
                    </a:xfrm>
                    <a:prstGeom prst="rect"/>
                  </pic:spPr>
                </pic:pic>
              </a:graphicData>
            </a:graphic>
          </wp:inline>
        </w:drawing>
      </w:r>
    </w:p>
    <w:p>
      <w:pPr>
        <w:spacing w:after="200"/>
        <w:jc w:val="center"/>
      </w:pPr>
      <w:r>
        <w:rPr>
          <w:rFonts w:ascii="Times New Roman" w:hAnsi="Times New Roman" w:cs="Times New Roman"/>
          <w:b w:val="0"/>
          <w:i/>
          <w:sz w:val="18"/>
        </w:rPr>
        <w:t>Figure 1. End-to-end privacy-preserving proctoring pipeline.</w:t>
      </w:r>
    </w:p>
    <w:p>
      <w:pPr>
        <w:spacing w:after="80" w:line="288" w:lineRule="auto"/>
      </w:pPr>
      <w:r>
        <w:rPr>
          <w:rFonts w:ascii="Times New Roman" w:hAnsi="Times New Roman" w:cs="Times New Roman"/>
          <w:b w:val="0"/>
          <w:i w:val="0"/>
          <w:sz w:val="22"/>
        </w:rPr>
        <w:t>The pipeline (Figure 1) consists of four logical stages:</w:t>
      </w:r>
    </w:p>
    <w:p>
      <w:pPr>
        <w:pStyle w:val="ListNumber"/>
      </w:pPr>
      <w:r>
        <w:rPr>
          <w:rFonts w:ascii="Times New Roman" w:hAnsi="Times New Roman" w:cs="Times New Roman"/>
          <w:b/>
          <w:i w:val="0"/>
          <w:sz w:val="22"/>
        </w:rPr>
        <w:t>Sensors.</w:t>
      </w:r>
      <w:r>
        <w:rPr>
          <w:rFonts w:ascii="Times New Roman" w:hAnsi="Times New Roman" w:cs="Times New Roman"/>
          <w:b w:val="0"/>
          <w:i w:val="0"/>
          <w:sz w:val="22"/>
        </w:rPr>
        <w:t xml:space="preserve"> Camera (720p webcam) and microphone are accessed in a volatile memory buffer.</w:t>
      </w:r>
    </w:p>
    <w:p>
      <w:pPr>
        <w:pStyle w:val="ListNumber"/>
      </w:pPr>
      <w:r>
        <w:rPr>
          <w:rFonts w:ascii="Times New Roman" w:hAnsi="Times New Roman" w:cs="Times New Roman"/>
          <w:b/>
          <w:i w:val="0"/>
          <w:sz w:val="22"/>
        </w:rPr>
        <w:t>Modality encoders.</w:t>
      </w:r>
      <w:r>
        <w:rPr>
          <w:rFonts w:ascii="Times New Roman" w:hAnsi="Times New Roman" w:cs="Times New Roman"/>
          <w:b w:val="0"/>
          <w:i w:val="0"/>
          <w:sz w:val="22"/>
        </w:rPr>
        <w:t xml:space="preserve"> YOLOv8-s for objects, MediaPipe FaceMesh for behavioural cues, Whisper-Base encoder in content-free mode for acoustic anomaly.</w:t>
      </w:r>
    </w:p>
    <w:p>
      <w:pPr>
        <w:pStyle w:val="ListNumber"/>
      </w:pPr>
      <w:r>
        <w:rPr>
          <w:rFonts w:ascii="Times New Roman" w:hAnsi="Times New Roman" w:cs="Times New Roman"/>
          <w:b/>
          <w:i w:val="0"/>
          <w:sz w:val="22"/>
        </w:rPr>
        <w:t>Suspicion Index Fusion Model.</w:t>
      </w:r>
      <w:r>
        <w:rPr>
          <w:rFonts w:ascii="Times New Roman" w:hAnsi="Times New Roman" w:cs="Times New Roman"/>
          <w:b w:val="0"/>
          <w:i w:val="0"/>
          <w:sz w:val="22"/>
        </w:rPr>
        <w:t xml:space="preserve"> Combines the modality outputs into a calibrated risk score.</w:t>
      </w:r>
    </w:p>
    <w:p>
      <w:pPr>
        <w:pStyle w:val="ListNumber"/>
      </w:pPr>
      <w:r>
        <w:rPr>
          <w:rFonts w:ascii="Times New Roman" w:hAnsi="Times New Roman" w:cs="Times New Roman"/>
          <w:b/>
          <w:i w:val="0"/>
          <w:sz w:val="22"/>
        </w:rPr>
        <w:t>Response layer.</w:t>
      </w:r>
      <w:r>
        <w:rPr>
          <w:rFonts w:ascii="Times New Roman" w:hAnsi="Times New Roman" w:cs="Times New Roman"/>
          <w:b w:val="0"/>
          <w:i w:val="0"/>
          <w:sz w:val="22"/>
        </w:rPr>
        <w:t xml:space="preserve"> Generates warnings or flags according to risk thresholds and writes only metadata to disk.</w:t>
      </w:r>
    </w:p>
    <w:p>
      <w:pPr>
        <w:spacing w:before="160" w:after="80"/>
      </w:pPr>
      <w:r>
        <w:rPr>
          <w:rFonts w:ascii="Times New Roman" w:hAnsi="Times New Roman" w:cs="Times New Roman"/>
          <w:b/>
          <w:i w:val="0"/>
          <w:sz w:val="24"/>
        </w:rPr>
        <w:t>3.3 Threat Model</w:t>
      </w:r>
    </w:p>
    <w:p>
      <w:pPr>
        <w:spacing w:after="80" w:line="288" w:lineRule="auto"/>
      </w:pPr>
      <w:r>
        <w:rPr>
          <w:rFonts w:ascii="Times New Roman" w:hAnsi="Times New Roman" w:cs="Times New Roman"/>
          <w:b w:val="0"/>
          <w:i w:val="0"/>
          <w:sz w:val="22"/>
        </w:rPr>
        <w:t xml:space="preserve">We adopt the standard </w:t>
      </w:r>
      <w:r>
        <w:rPr>
          <w:rFonts w:ascii="Times New Roman" w:hAnsi="Times New Roman" w:cs="Times New Roman"/>
          <w:b w:val="0"/>
          <w:i/>
          <w:sz w:val="22"/>
        </w:rPr>
        <w:t>honest-but-curious</w:t>
      </w:r>
      <w:r>
        <w:rPr>
          <w:rFonts w:ascii="Times New Roman" w:hAnsi="Times New Roman" w:cs="Times New Roman"/>
          <w:b w:val="0"/>
          <w:i w:val="0"/>
          <w:sz w:val="22"/>
        </w:rPr>
        <w:t xml:space="preserve"> threat model from the differential-privacy literature [24], extended for proctoring. The institution is honest in that it follows the protocol but curious in the sense that it might attempt to recover information beyond the strictly necessary. We additionally consider three explicit adversaries:</w:t>
      </w:r>
    </w:p>
    <w:p>
      <w:pPr>
        <w:pStyle w:val="ListBullet"/>
      </w:pPr>
      <w:r>
        <w:rPr>
          <w:rFonts w:ascii="Times New Roman" w:hAnsi="Times New Roman" w:cs="Times New Roman"/>
          <w:b/>
          <w:i w:val="0"/>
          <w:sz w:val="22"/>
        </w:rPr>
        <w:t>Internal observer.</w:t>
      </w:r>
      <w:r>
        <w:rPr>
          <w:rFonts w:ascii="Times New Roman" w:hAnsi="Times New Roman" w:cs="Times New Roman"/>
          <w:b w:val="0"/>
          <w:i w:val="0"/>
          <w:sz w:val="22"/>
        </w:rPr>
        <w:t xml:space="preserve"> Has read access to the event log. Goal: re-identify candidates from the metadata.</w:t>
      </w:r>
    </w:p>
    <w:p>
      <w:pPr>
        <w:pStyle w:val="ListBullet"/>
      </w:pPr>
      <w:r>
        <w:rPr>
          <w:rFonts w:ascii="Times New Roman" w:hAnsi="Times New Roman" w:cs="Times New Roman"/>
          <w:b/>
          <w:i w:val="0"/>
          <w:sz w:val="22"/>
        </w:rPr>
        <w:t>External observer.</w:t>
      </w:r>
      <w:r>
        <w:rPr>
          <w:rFonts w:ascii="Times New Roman" w:hAnsi="Times New Roman" w:cs="Times New Roman"/>
          <w:b w:val="0"/>
          <w:i w:val="0"/>
          <w:sz w:val="22"/>
        </w:rPr>
        <w:t xml:space="preserve"> Has read access to the encrypted artefacts written to disk by the system. Goal: reconstruct video, audio, or identifying templates.</w:t>
      </w:r>
    </w:p>
    <w:p>
      <w:pPr>
        <w:pStyle w:val="ListBullet"/>
      </w:pPr>
      <w:r>
        <w:rPr>
          <w:rFonts w:ascii="Times New Roman" w:hAnsi="Times New Roman" w:cs="Times New Roman"/>
          <w:b/>
          <w:i w:val="0"/>
          <w:sz w:val="22"/>
        </w:rPr>
        <w:t>Curious operator.</w:t>
      </w:r>
      <w:r>
        <w:rPr>
          <w:rFonts w:ascii="Times New Roman" w:hAnsi="Times New Roman" w:cs="Times New Roman"/>
          <w:b w:val="0"/>
          <w:i w:val="0"/>
          <w:sz w:val="22"/>
        </w:rPr>
        <w:t xml:space="preserve"> Has read access to model artefacts. Goal: extract biometric template embeddings from model state.</w:t>
      </w:r>
    </w:p>
    <w:p>
      <w:pPr>
        <w:spacing w:after="80" w:line="288" w:lineRule="auto"/>
      </w:pPr>
      <w:r>
        <w:rPr>
          <w:rFonts w:ascii="Times New Roman" w:hAnsi="Times New Roman" w:cs="Times New Roman"/>
          <w:b w:val="0"/>
          <w:i w:val="0"/>
          <w:sz w:val="22"/>
        </w:rPr>
        <w:t xml:space="preserve">A system is </w:t>
      </w:r>
      <w:r>
        <w:rPr>
          <w:rFonts w:ascii="Times New Roman" w:hAnsi="Times New Roman" w:cs="Times New Roman"/>
          <w:b w:val="0"/>
          <w:i/>
          <w:sz w:val="22"/>
        </w:rPr>
        <w:t>privacy-preserving</w:t>
      </w:r>
      <w:r>
        <w:rPr>
          <w:rFonts w:ascii="Times New Roman" w:hAnsi="Times New Roman" w:cs="Times New Roman"/>
          <w:b w:val="0"/>
          <w:i w:val="0"/>
          <w:sz w:val="22"/>
        </w:rPr>
        <w:t xml:space="preserve"> with respect to this threat model if all three adversaries are limited to chance-level identification accuracy. Section 6.5 reports an empirical lower bound on this property.</w:t>
      </w:r>
    </w:p>
    <w:p>
      <w:pPr>
        <w:spacing w:before="160" w:after="80"/>
      </w:pPr>
      <w:r>
        <w:rPr>
          <w:rFonts w:ascii="Times New Roman" w:hAnsi="Times New Roman" w:cs="Times New Roman"/>
          <w:b/>
          <w:i w:val="0"/>
          <w:sz w:val="28"/>
        </w:rPr>
        <w:t>4. Methodology</w:t>
      </w:r>
    </w:p>
    <w:p>
      <w:pPr>
        <w:spacing w:before="160" w:after="80"/>
      </w:pPr>
      <w:r>
        <w:rPr>
          <w:rFonts w:ascii="Times New Roman" w:hAnsi="Times New Roman" w:cs="Times New Roman"/>
          <w:b/>
          <w:i w:val="0"/>
          <w:sz w:val="24"/>
        </w:rPr>
        <w:t>4.1 Visual Subsystem</w:t>
      </w:r>
    </w:p>
    <w:p>
      <w:pPr>
        <w:spacing w:after="80" w:line="288" w:lineRule="auto"/>
      </w:pPr>
      <w:r>
        <w:rPr>
          <w:rFonts w:ascii="Times New Roman" w:hAnsi="Times New Roman" w:cs="Times New Roman"/>
          <w:b w:val="0"/>
          <w:i w:val="0"/>
          <w:sz w:val="22"/>
        </w:rPr>
        <w:t>We use YOLOv8-s [13] pre-trained on COCO [14]. The model produces, for each frame, a set of bounding boxes with class probabilities. We retain only the proctoring-relevant subset:</w:t>
      </w:r>
    </w:p>
    <w:p>
      <w:pPr>
        <w:jc w:val="center"/>
      </w:pPr>
      <w:r>
        <w:rPr>
          <w:rFonts w:ascii="Times New Roman" w:hAnsi="Times New Roman" w:cs="Times New Roman"/>
          <w:b w:val="0"/>
          <w:i/>
          <w:sz w:val="22"/>
        </w:rPr>
        <w:t>\mathcal{C} = \{cell phone, book, laptop, tv, keyboard, mouse, person\}</w:t>
      </w:r>
    </w:p>
    <w:p>
      <w:pPr>
        <w:spacing w:after="80" w:line="288" w:lineRule="auto"/>
      </w:pPr>
      <w:r>
        <w:rPr>
          <w:rFonts w:ascii="Times New Roman" w:hAnsi="Times New Roman" w:cs="Times New Roman"/>
          <w:b w:val="0"/>
          <w:i w:val="0"/>
          <w:sz w:val="22"/>
        </w:rPr>
        <w:t xml:space="preserve">For each detection $d_i = (c_i, p_i, b_i, t_i)$ with class $c_i \in \mathcal{C}$, confidence $p_i$, bounding box $b_i$, and timestamp $t_i$, the visual subsystem outputs </w:t>
      </w:r>
      <w:r>
        <w:rPr>
          <w:rFonts w:ascii="Times New Roman" w:hAnsi="Times New Roman" w:cs="Times New Roman"/>
          <w:b w:val="0"/>
          <w:i/>
          <w:sz w:val="22"/>
        </w:rPr>
        <w:t>only</w:t>
      </w:r>
      <w:r>
        <w:rPr>
          <w:rFonts w:ascii="Times New Roman" w:hAnsi="Times New Roman" w:cs="Times New Roman"/>
          <w:b w:val="0"/>
          <w:i w:val="0"/>
          <w:sz w:val="22"/>
        </w:rPr>
        <w:t xml:space="preserve"> the tuple $(c_i, p_i, t_i)$. No frame is stored.</w:t>
      </w:r>
    </w:p>
    <w:p>
      <w:pPr>
        <w:spacing w:after="80" w:line="288" w:lineRule="auto"/>
      </w:pPr>
      <w:r>
        <w:rPr>
          <w:rFonts w:ascii="Times New Roman" w:hAnsi="Times New Roman" w:cs="Times New Roman"/>
          <w:b w:val="0"/>
          <w:i w:val="0"/>
          <w:sz w:val="22"/>
        </w:rPr>
        <w:t>MediaPipe FaceMesh [15], [49] yields 468 facial landmarks $L = \{l_1, ..., l_{468}\}$. We compute four geometric descriptors:</w:t>
      </w:r>
    </w:p>
    <w:p>
      <w:pPr>
        <w:pStyle w:val="ListBullet"/>
      </w:pPr>
      <w:r>
        <w:rPr>
          <w:rFonts w:ascii="Times New Roman" w:hAnsi="Times New Roman" w:cs="Times New Roman"/>
          <w:b/>
          <w:i w:val="0"/>
          <w:sz w:val="22"/>
        </w:rPr>
        <w:t>Gaze deviation angle</w:t>
      </w:r>
      <w:r>
        <w:rPr>
          <w:rFonts w:ascii="Times New Roman" w:hAnsi="Times New Roman" w:cs="Times New Roman"/>
          <w:b w:val="0"/>
          <w:i w:val="0"/>
          <w:sz w:val="22"/>
        </w:rPr>
        <w:t xml:space="preserve"> $\theta_g$: derived from the angular position of the nose tip relative to the eye-centre axis.</w:t>
      </w:r>
    </w:p>
    <w:p>
      <w:pPr>
        <w:pStyle w:val="ListBullet"/>
      </w:pPr>
      <w:r>
        <w:rPr>
          <w:rFonts w:ascii="Times New Roman" w:hAnsi="Times New Roman" w:cs="Times New Roman"/>
          <w:b/>
          <w:i w:val="0"/>
          <w:sz w:val="22"/>
        </w:rPr>
        <w:t>Head yaw</w:t>
      </w:r>
      <w:r>
        <w:rPr>
          <w:rFonts w:ascii="Times New Roman" w:hAnsi="Times New Roman" w:cs="Times New Roman"/>
          <w:b w:val="0"/>
          <w:i w:val="0"/>
          <w:sz w:val="22"/>
        </w:rPr>
        <w:t xml:space="preserve"> $\phi_y$ and </w:t>
      </w:r>
      <w:r>
        <w:rPr>
          <w:rFonts w:ascii="Times New Roman" w:hAnsi="Times New Roman" w:cs="Times New Roman"/>
          <w:b/>
          <w:i w:val="0"/>
          <w:sz w:val="22"/>
        </w:rPr>
        <w:t>pitch</w:t>
      </w:r>
      <w:r>
        <w:rPr>
          <w:rFonts w:ascii="Times New Roman" w:hAnsi="Times New Roman" w:cs="Times New Roman"/>
          <w:b w:val="0"/>
          <w:i w:val="0"/>
          <w:sz w:val="22"/>
        </w:rPr>
        <w:t xml:space="preserve"> $\phi_p$: computed from the relative position of ears, nose tip, and chin.</w:t>
      </w:r>
    </w:p>
    <w:p>
      <w:pPr>
        <w:pStyle w:val="ListBullet"/>
      </w:pPr>
      <w:r>
        <w:rPr>
          <w:rFonts w:ascii="Times New Roman" w:hAnsi="Times New Roman" w:cs="Times New Roman"/>
          <w:b/>
          <w:i w:val="0"/>
          <w:sz w:val="22"/>
        </w:rPr>
        <w:t>Lip variance</w:t>
      </w:r>
      <w:r>
        <w:rPr>
          <w:rFonts w:ascii="Times New Roman" w:hAnsi="Times New Roman" w:cs="Times New Roman"/>
          <w:b w:val="0"/>
          <w:i w:val="0"/>
          <w:sz w:val="22"/>
        </w:rPr>
        <w:t xml:space="preserve"> $\sigma_l^2$: variance of the upper-lower lip distance over a 30-frame sliding window.</w:t>
      </w:r>
    </w:p>
    <w:p>
      <w:pPr>
        <w:spacing w:after="80" w:line="288" w:lineRule="auto"/>
      </w:pPr>
      <w:r>
        <w:rPr>
          <w:rFonts w:ascii="Times New Roman" w:hAnsi="Times New Roman" w:cs="Times New Roman"/>
          <w:b w:val="0"/>
          <w:i w:val="0"/>
          <w:sz w:val="22"/>
        </w:rPr>
        <w:t>Sustained off-screen gaze is flagged when $\theta_g &gt; 18°$ or $|\phi_y| &gt; 25°$ for at least 2.5 s.</w:t>
      </w:r>
    </w:p>
    <w:p>
      <w:pPr>
        <w:spacing w:before="160" w:after="80"/>
      </w:pPr>
      <w:r>
        <w:rPr>
          <w:rFonts w:ascii="Times New Roman" w:hAnsi="Times New Roman" w:cs="Times New Roman"/>
          <w:b/>
          <w:i w:val="0"/>
          <w:sz w:val="24"/>
        </w:rPr>
        <w:t>4.2 Acoustic Subsystem (Content-Free Whisper)</w:t>
      </w:r>
    </w:p>
    <w:p>
      <w:pPr>
        <w:spacing w:after="80" w:line="288" w:lineRule="auto"/>
      </w:pPr>
      <w:r>
        <w:rPr>
          <w:rFonts w:ascii="Times New Roman" w:hAnsi="Times New Roman" w:cs="Times New Roman"/>
          <w:b w:val="0"/>
          <w:i w:val="0"/>
          <w:sz w:val="22"/>
        </w:rPr>
        <w:t>We use Whisper-Base [16] (74 M parameters) with the decoder disabled. The encoder maps a 30-second log-mel spectrogram to a hidden state $H \in \mathbb{R}^{T \times d}$, where $T = 1500$ and $d = 512$. For each 5-second buffer $a$, we compute:</w:t>
      </w:r>
    </w:p>
    <w:p>
      <w:pPr>
        <w:pStyle w:val="ListBullet"/>
      </w:pPr>
      <w:r>
        <w:rPr>
          <w:rFonts w:ascii="Times New Roman" w:hAnsi="Times New Roman" w:cs="Times New Roman"/>
          <w:b/>
          <w:i w:val="0"/>
          <w:sz w:val="22"/>
        </w:rPr>
        <w:t>Voice Activity Ratio</w:t>
      </w:r>
      <w:r>
        <w:rPr>
          <w:rFonts w:ascii="Times New Roman" w:hAnsi="Times New Roman" w:cs="Times New Roman"/>
          <w:b w:val="0"/>
          <w:i w:val="0"/>
          <w:sz w:val="22"/>
        </w:rPr>
        <w:t xml:space="preserve"> $\mathrm{VAR}(a)$: fraction of short-time frames whose energy exceeds 1.4× the median.</w:t>
      </w:r>
    </w:p>
    <w:p>
      <w:pPr>
        <w:pStyle w:val="ListBullet"/>
      </w:pPr>
      <w:r>
        <w:rPr>
          <w:rFonts w:ascii="Times New Roman" w:hAnsi="Times New Roman" w:cs="Times New Roman"/>
          <w:b/>
          <w:i w:val="0"/>
          <w:sz w:val="22"/>
        </w:rPr>
        <w:t>Pitch fluctuation</w:t>
      </w:r>
      <w:r>
        <w:rPr>
          <w:rFonts w:ascii="Times New Roman" w:hAnsi="Times New Roman" w:cs="Times New Roman"/>
          <w:b w:val="0"/>
          <w:i w:val="0"/>
          <w:sz w:val="22"/>
        </w:rPr>
        <w:t xml:space="preserve"> $\mathrm{PFV}(a)$: median absolute deviation of the auto-correlation-based pitch estimate across active frames, normalised by the median.</w:t>
      </w:r>
    </w:p>
    <w:p>
      <w:pPr>
        <w:pStyle w:val="ListBullet"/>
      </w:pPr>
      <w:r>
        <w:rPr>
          <w:rFonts w:ascii="Times New Roman" w:hAnsi="Times New Roman" w:cs="Times New Roman"/>
          <w:b/>
          <w:i w:val="0"/>
          <w:sz w:val="22"/>
        </w:rPr>
        <w:t>Spectral centroid fluctuation</w:t>
      </w:r>
      <w:r>
        <w:rPr>
          <w:rFonts w:ascii="Times New Roman" w:hAnsi="Times New Roman" w:cs="Times New Roman"/>
          <w:b w:val="0"/>
          <w:i w:val="0"/>
          <w:sz w:val="22"/>
        </w:rPr>
        <w:t xml:space="preserve"> $\mathrm{CFV}(a)$: same as PFV but over the spectral centroid.</w:t>
      </w:r>
    </w:p>
    <w:p>
      <w:pPr>
        <w:pStyle w:val="ListBullet"/>
      </w:pPr>
      <w:r>
        <w:rPr>
          <w:rFonts w:ascii="Times New Roman" w:hAnsi="Times New Roman" w:cs="Times New Roman"/>
          <w:b/>
          <w:i w:val="0"/>
          <w:sz w:val="22"/>
        </w:rPr>
        <w:t>High-band ratio</w:t>
      </w:r>
      <w:r>
        <w:rPr>
          <w:rFonts w:ascii="Times New Roman" w:hAnsi="Times New Roman" w:cs="Times New Roman"/>
          <w:b w:val="0"/>
          <w:i w:val="0"/>
          <w:sz w:val="22"/>
        </w:rPr>
        <w:t xml:space="preserve"> $\mathrm{HBR}(a)$: ratio of energy in [1.5–6.5 kHz] over [60–1500 Hz].</w:t>
      </w:r>
    </w:p>
    <w:p>
      <w:pPr>
        <w:spacing w:after="80" w:line="288" w:lineRule="auto"/>
      </w:pPr>
      <w:r>
        <w:rPr>
          <w:rFonts w:ascii="Times New Roman" w:hAnsi="Times New Roman" w:cs="Times New Roman"/>
          <w:b w:val="0"/>
          <w:i w:val="0"/>
          <w:sz w:val="22"/>
        </w:rPr>
        <w:t>The secondary-speaker probability is then computed by an empirically calibrated logistic mapping:</w:t>
      </w:r>
    </w:p>
    <w:p>
      <w:pPr>
        <w:jc w:val="center"/>
      </w:pPr>
      <w:r>
        <w:rPr>
          <w:rFonts w:ascii="Times New Roman" w:hAnsi="Times New Roman" w:cs="Times New Roman"/>
          <w:b w:val="0"/>
          <w:i/>
          <w:sz w:val="22"/>
        </w:rPr>
        <w:t>P_\mathrm{sec}(a) = \sigma\big(\beta_0 + \beta_1 \mathrm{PFV} + \beta_2 \mathrm{CFV}\big) \cdot \mathrm{gate}(a)</w:t>
      </w:r>
    </w:p>
    <w:p>
      <w:pPr>
        <w:spacing w:after="80" w:line="288" w:lineRule="auto"/>
      </w:pPr>
      <w:r>
        <w:rPr>
          <w:rFonts w:ascii="Times New Roman" w:hAnsi="Times New Roman" w:cs="Times New Roman"/>
          <w:b w:val="0"/>
          <w:i w:val="0"/>
          <w:sz w:val="22"/>
        </w:rPr>
        <w:t>where $\mathrm{gate}(a)$ is an activity gate that is near zero for silent buffers (built from a clipped function of the RMS in dBFS and VAR). Overlap and whisper probabilities follow analogous logistic mappings with their own coefficient set. Crucially, no decoder is ever called, so the linguistic content of the audio cannot be recovered.</w:t>
      </w:r>
    </w:p>
    <w:p>
      <w:pPr>
        <w:spacing w:before="160" w:after="80"/>
      </w:pPr>
      <w:r>
        <w:rPr>
          <w:rFonts w:ascii="Times New Roman" w:hAnsi="Times New Roman" w:cs="Times New Roman"/>
          <w:b/>
          <w:i w:val="0"/>
          <w:sz w:val="24"/>
        </w:rPr>
        <w:t>4.3 Suspicion Index Fusion Model</w:t>
      </w:r>
    </w:p>
    <w:p>
      <w:pPr>
        <w:spacing w:after="80" w:line="288" w:lineRule="auto"/>
      </w:pPr>
      <w:r>
        <w:rPr>
          <w:rFonts w:ascii="Times New Roman" w:hAnsi="Times New Roman" w:cs="Times New Roman"/>
          <w:b w:val="0"/>
          <w:i w:val="0"/>
          <w:sz w:val="22"/>
        </w:rPr>
        <w:t>For each session we summarise the metadata stream into a 12-dimensional feature vector $\mathbf{x} \in \mathbb{R}^{12}$:</w:t>
      </w:r>
    </w:p>
    <w:p>
      <w:pPr>
        <w:jc w:val="center"/>
      </w:pPr>
      <w:r>
        <w:rPr>
          <w:rFonts w:ascii="Times New Roman" w:hAnsi="Times New Roman" w:cs="Times New Roman"/>
          <w:b w:val="0"/>
          <w:i/>
          <w:sz w:val="22"/>
        </w:rPr>
        <w:t>\mathbf{x} = [p^\max_\text{phone}, r^\text{dur}_\text{phone}, p^\max_\text{book}, n^\text{max}_\text{persons}, \theta^\max_g, r_\text{off}, |\phi_y|^\max, \bar\sigma_l^2, P^\max_\text{sec}, r_\text{sec}, P^\max_\text{ovl}, P^\max_\text{whisp}]</w:t>
      </w:r>
    </w:p>
    <w:p>
      <w:pPr>
        <w:spacing w:after="80" w:line="288" w:lineRule="auto"/>
      </w:pPr>
      <w:r>
        <w:rPr>
          <w:rFonts w:ascii="Times New Roman" w:hAnsi="Times New Roman" w:cs="Times New Roman"/>
          <w:b w:val="0"/>
          <w:i w:val="0"/>
          <w:sz w:val="22"/>
        </w:rPr>
        <w:t>The Suspicion Index $\mathrm{SI} \in [0, 1]$ is produced by a fusion model $f_\theta(\mathbf{x})$ identified empirically (Section 6.3) among five candidates:</w:t>
      </w:r>
    </w:p>
    <w:p>
      <w:pPr>
        <w:pStyle w:val="ListNumber"/>
      </w:pPr>
      <w:r>
        <w:rPr>
          <w:rFonts w:ascii="Times New Roman" w:hAnsi="Times New Roman" w:cs="Times New Roman"/>
          <w:b/>
          <w:i w:val="0"/>
          <w:sz w:val="22"/>
        </w:rPr>
        <w:t>Weighted sum.</w:t>
      </w:r>
      <w:r>
        <w:rPr>
          <w:rFonts w:ascii="Times New Roman" w:hAnsi="Times New Roman" w:cs="Times New Roman"/>
          <w:b w:val="0"/>
          <w:i w:val="0"/>
          <w:sz w:val="22"/>
        </w:rPr>
        <w:t xml:space="preserve"> The original rule from the conference draft: $\mathrm{SI} = \alpha V + \beta A + \gamma B$ with $\alpha = 0.45, \beta = 0.30, \gamma = 0.25$ where $V, A, B$ are normalised visual, acoustic, and behavioural scores.</w:t>
      </w:r>
    </w:p>
    <w:p>
      <w:pPr>
        <w:pStyle w:val="ListNumber"/>
      </w:pPr>
      <w:r>
        <w:rPr>
          <w:rFonts w:ascii="Times New Roman" w:hAnsi="Times New Roman" w:cs="Times New Roman"/>
          <w:b/>
          <w:i w:val="0"/>
          <w:sz w:val="22"/>
        </w:rPr>
        <w:t>L2-regularised logistic regression.</w:t>
      </w:r>
    </w:p>
    <w:p>
      <w:pPr>
        <w:pStyle w:val="ListNumber"/>
      </w:pPr>
      <w:r>
        <w:rPr>
          <w:rFonts w:ascii="Times New Roman" w:hAnsi="Times New Roman" w:cs="Times New Roman"/>
          <w:b/>
          <w:i w:val="0"/>
          <w:sz w:val="22"/>
        </w:rPr>
        <w:t>Random forest</w:t>
      </w:r>
      <w:r>
        <w:rPr>
          <w:rFonts w:ascii="Times New Roman" w:hAnsi="Times New Roman" w:cs="Times New Roman"/>
          <w:b w:val="0"/>
          <w:i w:val="0"/>
          <w:sz w:val="22"/>
        </w:rPr>
        <w:t xml:space="preserve"> with 200 trees, max depth 8.</w:t>
      </w:r>
    </w:p>
    <w:p>
      <w:pPr>
        <w:pStyle w:val="ListNumber"/>
      </w:pPr>
      <w:r>
        <w:rPr>
          <w:rFonts w:ascii="Times New Roman" w:hAnsi="Times New Roman" w:cs="Times New Roman"/>
          <w:b/>
          <w:i w:val="0"/>
          <w:sz w:val="22"/>
        </w:rPr>
        <w:t>Multi-layer perceptron</w:t>
      </w:r>
      <w:r>
        <w:rPr>
          <w:rFonts w:ascii="Times New Roman" w:hAnsi="Times New Roman" w:cs="Times New Roman"/>
          <w:b w:val="0"/>
          <w:i w:val="0"/>
          <w:sz w:val="22"/>
        </w:rPr>
        <w:t xml:space="preserve"> (32, 16) with StandardScaler preprocessing.</w:t>
      </w:r>
    </w:p>
    <w:p>
      <w:pPr>
        <w:pStyle w:val="ListNumber"/>
      </w:pPr>
      <w:r>
        <w:rPr>
          <w:rFonts w:ascii="Times New Roman" w:hAnsi="Times New Roman" w:cs="Times New Roman"/>
          <w:b/>
          <w:i w:val="0"/>
          <w:sz w:val="22"/>
        </w:rPr>
        <w:t>Gaussian naive Bayes</w:t>
      </w:r>
      <w:r>
        <w:rPr>
          <w:rFonts w:ascii="Times New Roman" w:hAnsi="Times New Roman" w:cs="Times New Roman"/>
          <w:b w:val="0"/>
          <w:i w:val="0"/>
          <w:sz w:val="22"/>
        </w:rPr>
        <w:t>.</w:t>
      </w:r>
    </w:p>
    <w:p>
      <w:pPr>
        <w:spacing w:after="80" w:line="288" w:lineRule="auto"/>
      </w:pPr>
      <w:r>
        <w:rPr>
          <w:rFonts w:ascii="Times New Roman" w:hAnsi="Times New Roman" w:cs="Times New Roman"/>
          <w:b w:val="0"/>
          <w:i w:val="0"/>
          <w:sz w:val="22"/>
        </w:rPr>
        <w:t xml:space="preserve">A session is </w:t>
      </w:r>
      <w:r>
        <w:rPr>
          <w:rFonts w:ascii="Times New Roman" w:hAnsi="Times New Roman" w:cs="Times New Roman"/>
          <w:b w:val="0"/>
          <w:i/>
          <w:sz w:val="22"/>
        </w:rPr>
        <w:t>warned</w:t>
      </w:r>
      <w:r>
        <w:rPr>
          <w:rFonts w:ascii="Times New Roman" w:hAnsi="Times New Roman" w:cs="Times New Roman"/>
          <w:b w:val="0"/>
          <w:i w:val="0"/>
          <w:sz w:val="22"/>
        </w:rPr>
        <w:t xml:space="preserve"> if $\mathrm{SI} \geq 0.35$ and </w:t>
      </w:r>
      <w:r>
        <w:rPr>
          <w:rFonts w:ascii="Times New Roman" w:hAnsi="Times New Roman" w:cs="Times New Roman"/>
          <w:b w:val="0"/>
          <w:i/>
          <w:sz w:val="22"/>
        </w:rPr>
        <w:t>flagged</w:t>
      </w:r>
      <w:r>
        <w:rPr>
          <w:rFonts w:ascii="Times New Roman" w:hAnsi="Times New Roman" w:cs="Times New Roman"/>
          <w:b w:val="0"/>
          <w:i w:val="0"/>
          <w:sz w:val="22"/>
        </w:rPr>
        <w:t xml:space="preserve"> if $\mathrm{SI} \geq 0.65$.</w:t>
      </w:r>
    </w:p>
    <w:p>
      <w:pPr>
        <w:spacing w:before="160" w:after="80"/>
      </w:pPr>
      <w:r>
        <w:rPr>
          <w:rFonts w:ascii="Times New Roman" w:hAnsi="Times New Roman" w:cs="Times New Roman"/>
          <w:b/>
          <w:i w:val="0"/>
          <w:sz w:val="24"/>
        </w:rPr>
        <w:t>4.4 Data-Flow and Privacy Guarantees</w:t>
      </w:r>
    </w:p>
    <w:p>
      <w:pPr>
        <w:jc w:val="center"/>
      </w:pPr>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fig_si_timeline.png"/>
                    <pic:cNvPicPr/>
                  </pic:nvPicPr>
                  <pic:blipFill>
                    <a:blip r:embed="rId10"/>
                    <a:stretch>
                      <a:fillRect/>
                    </a:stretch>
                  </pic:blipFill>
                  <pic:spPr>
                    <a:xfrm>
                      <a:off x="0" y="0"/>
                      <a:ext cx="5486400" cy="2244436"/>
                    </a:xfrm>
                    <a:prstGeom prst="rect"/>
                  </pic:spPr>
                </pic:pic>
              </a:graphicData>
            </a:graphic>
          </wp:inline>
        </w:drawing>
      </w:r>
    </w:p>
    <w:p>
      <w:pPr>
        <w:spacing w:after="200"/>
        <w:jc w:val="center"/>
      </w:pPr>
      <w:r>
        <w:rPr>
          <w:rFonts w:ascii="Times New Roman" w:hAnsi="Times New Roman" w:cs="Times New Roman"/>
          <w:b w:val="0"/>
          <w:i/>
          <w:sz w:val="18"/>
        </w:rPr>
        <w:t>Figure 2. Simulated 60-second session illustrating the trajectory of the visual, acoustic and behavioural risk components and the resulting Suspicion Index.</w:t>
      </w:r>
    </w:p>
    <w:p>
      <w:pPr>
        <w:spacing w:after="80" w:line="288" w:lineRule="auto"/>
      </w:pPr>
      <w:r>
        <w:rPr>
          <w:rFonts w:ascii="Times New Roman" w:hAnsi="Times New Roman" w:cs="Times New Roman"/>
          <w:b w:val="0"/>
          <w:i w:val="0"/>
          <w:sz w:val="22"/>
        </w:rPr>
        <w:t>The event log written to disk has the schema</w:t>
      </w:r>
    </w:p>
    <w:p>
      <w:pPr>
        <w:spacing w:after="120"/>
      </w:pPr>
      <w:r>
        <w:rPr>
          <w:rFonts w:ascii="Courier New" w:hAnsi="Courier New" w:cs="Courier New"/>
          <w:b w:val="0"/>
          <w:i w:val="0"/>
          <w:sz w:val="18"/>
        </w:rPr>
        <w:t>{event_type: string,</w:t>
        <w:br/>
        <w:t xml:space="preserve"> confidence_or_probability: float in [0,1],</w:t>
        <w:br/>
        <w:t xml:space="preserve"> timestamp: ISO-8601,</w:t>
        <w:br/>
        <w:t xml:space="preserve"> module: 'visual'|'acoustic'|'behaviour'|'fusion'}</w:t>
      </w:r>
    </w:p>
    <w:p>
      <w:pPr>
        <w:spacing w:after="80" w:line="288" w:lineRule="auto"/>
      </w:pPr>
      <w:r>
        <w:rPr>
          <w:rFonts w:ascii="Times New Roman" w:hAnsi="Times New Roman" w:cs="Times New Roman"/>
          <w:b w:val="0"/>
          <w:i w:val="0"/>
          <w:sz w:val="22"/>
        </w:rPr>
        <w:t>We deliberately do not write bounding boxes, landmarks, or any time series that could be used to triangulate identity. The model itself is shipped without per-candidate state.</w:t>
      </w:r>
    </w:p>
    <w:p>
      <w:pPr>
        <w:spacing w:before="160" w:after="80"/>
      </w:pPr>
      <w:r>
        <w:rPr>
          <w:rFonts w:ascii="Times New Roman" w:hAnsi="Times New Roman" w:cs="Times New Roman"/>
          <w:b/>
          <w:i w:val="0"/>
          <w:sz w:val="28"/>
        </w:rPr>
        <w:t>5. Experimental Setup</w:t>
      </w:r>
    </w:p>
    <w:p>
      <w:pPr>
        <w:spacing w:before="160" w:after="80"/>
      </w:pPr>
      <w:r>
        <w:rPr>
          <w:rFonts w:ascii="Times New Roman" w:hAnsi="Times New Roman" w:cs="Times New Roman"/>
          <w:b/>
          <w:i w:val="0"/>
          <w:sz w:val="24"/>
        </w:rPr>
        <w:t>5.1 Hardware</w:t>
      </w:r>
    </w:p>
    <w:p>
      <w:pPr>
        <w:spacing w:after="80" w:line="288" w:lineRule="auto"/>
      </w:pPr>
      <w:r>
        <w:rPr>
          <w:rFonts w:ascii="Times New Roman" w:hAnsi="Times New Roman" w:cs="Times New Roman"/>
          <w:b w:val="0"/>
          <w:i w:val="0"/>
          <w:sz w:val="22"/>
        </w:rPr>
        <w:t>All experiments were conducted on a single Apple Mac Studio (model Mac16,9) equipped with an Apple M4 Max system-on-chip (14-core CPU, 32-core integrated GPU), 36 GB of unified memory, running macOS 26.2. The Apple GPU is exposed to PyTorch through the Metal Performance Shaders (MPS) backend. The Whisper-Base encoder is executed on the CPU because the float-16 code path used by `openai-whisper` is not yet fully supported on MPS as of PyTorch 2.8. This host is more powerful than a typical student laptop; we therefore additionally re-benchmark every module in CPU-only mode (disabling MPS) to estimate a lower-bound on the relative cost of each component. CPU-only numbers on the M4 Max are not equivalent to the absolute performance of an older Intel laptop and we do not claim otherwise; cross-device benchmarking is an explicit item of future work (Section 8). The numbers reported in Section 6.5 should therefore be read as performance on a high-end ARM workstation, with the CPU-only column indicating how much of the latency is attributable to compute rather than GPU dispatch overhead.</w:t>
      </w:r>
    </w:p>
    <w:p>
      <w:pPr>
        <w:spacing w:before="160" w:after="80"/>
      </w:pPr>
      <w:r>
        <w:rPr>
          <w:rFonts w:ascii="Times New Roman" w:hAnsi="Times New Roman" w:cs="Times New Roman"/>
          <w:b/>
          <w:i w:val="0"/>
          <w:sz w:val="24"/>
        </w:rPr>
        <w:t>5.2 Datasets</w:t>
      </w:r>
    </w:p>
    <w:p>
      <w:pPr>
        <w:spacing w:after="80" w:line="288" w:lineRule="auto"/>
      </w:pPr>
      <w:r>
        <w:rPr>
          <w:rFonts w:ascii="Times New Roman" w:hAnsi="Times New Roman" w:cs="Times New Roman"/>
          <w:b w:val="0"/>
          <w:i w:val="0"/>
          <w:sz w:val="22"/>
        </w:rPr>
        <w:t>We use three datasets, each chosen to maximize realism while respecting privacy constraints:</w:t>
      </w:r>
    </w:p>
    <w:p>
      <w:pPr>
        <w:pStyle w:val="ListBullet"/>
      </w:pPr>
      <w:r>
        <w:rPr>
          <w:rFonts w:ascii="Times New Roman" w:hAnsi="Times New Roman" w:cs="Times New Roman"/>
          <w:b/>
          <w:i w:val="0"/>
          <w:sz w:val="22"/>
        </w:rPr>
        <w:t>D1 — Visual benchmark.</w:t>
      </w:r>
      <w:r>
        <w:rPr>
          <w:rFonts w:ascii="Times New Roman" w:hAnsi="Times New Roman" w:cs="Times New Roman"/>
          <w:b w:val="0"/>
          <w:i w:val="0"/>
          <w:sz w:val="22"/>
        </w:rPr>
        <w:t xml:space="preserve"> A 217-image subset of the public COCO val2017 dataset [14] stratified to include cell phone, book, laptop, person, TV, keyboard, and mouse instances (1,164 ground-truth annotations in total). COCO is published under the Creative Commons Attribution 4.0 license and is the same dataset on which YOLOv8 was originally trained, so the evaluation reports the out-of-the-box detection performance of the released checkpoint. Faces in COCO are not used as a verification target.</w:t>
      </w:r>
    </w:p>
    <w:p>
      <w:pPr>
        <w:pStyle w:val="ListBullet"/>
      </w:pPr>
      <w:r>
        <w:rPr>
          <w:rFonts w:ascii="Times New Roman" w:hAnsi="Times New Roman" w:cs="Times New Roman"/>
          <w:b/>
          <w:i w:val="0"/>
          <w:sz w:val="22"/>
        </w:rPr>
        <w:t>D2 — Acoustic benchmark.</w:t>
      </w:r>
      <w:r>
        <w:rPr>
          <w:rFonts w:ascii="Times New Roman" w:hAnsi="Times New Roman" w:cs="Times New Roman"/>
          <w:b w:val="0"/>
          <w:i w:val="0"/>
          <w:sz w:val="22"/>
        </w:rPr>
        <w:t xml:space="preserve"> A real-speech benchmark constructed from LibriSpeech `dev-clean` [17], a 5.4-hour corpus of read English speech released under CC-BY 4.0. We sample utterances, mix them programmatically into five 5-second conditions (</w:t>
      </w:r>
      <w:r>
        <w:rPr>
          <w:rFonts w:ascii="Times New Roman" w:hAnsi="Times New Roman" w:cs="Times New Roman"/>
          <w:b w:val="0"/>
          <w:i/>
          <w:sz w:val="22"/>
        </w:rPr>
        <w:t>silence, single-speaker, two-speakers, whispered, background-noise</w:t>
      </w:r>
      <w:r>
        <w:rPr>
          <w:rFonts w:ascii="Times New Roman" w:hAnsi="Times New Roman" w:cs="Times New Roman"/>
          <w:b w:val="0"/>
          <w:i w:val="0"/>
          <w:sz w:val="22"/>
        </w:rPr>
        <w:t xml:space="preserve">) and use Whisper-Base in content-free mode to compute the secondary-speaker, overlap and whisper probabilities. Speaker identifiers from LibriSpeech are </w:t>
      </w:r>
      <w:r>
        <w:rPr>
          <w:rFonts w:ascii="Times New Roman" w:hAnsi="Times New Roman" w:cs="Times New Roman"/>
          <w:b w:val="0"/>
          <w:i/>
          <w:sz w:val="22"/>
        </w:rPr>
        <w:t>not</w:t>
      </w:r>
      <w:r>
        <w:rPr>
          <w:rFonts w:ascii="Times New Roman" w:hAnsi="Times New Roman" w:cs="Times New Roman"/>
          <w:b w:val="0"/>
          <w:i w:val="0"/>
          <w:sz w:val="22"/>
        </w:rPr>
        <w:t xml:space="preserve"> used for any matching task; the corpus is treated as an anonymous source of natural speech.</w:t>
      </w:r>
    </w:p>
    <w:p>
      <w:pPr>
        <w:pStyle w:val="ListBullet"/>
      </w:pPr>
      <w:r>
        <w:rPr>
          <w:rFonts w:ascii="Times New Roman" w:hAnsi="Times New Roman" w:cs="Times New Roman"/>
          <w:b/>
          <w:i w:val="0"/>
          <w:sz w:val="22"/>
        </w:rPr>
        <w:t>D3 — Behaviour benchmark.</w:t>
      </w:r>
      <w:r>
        <w:rPr>
          <w:rFonts w:ascii="Times New Roman" w:hAnsi="Times New Roman" w:cs="Times New Roman"/>
          <w:b w:val="0"/>
          <w:i w:val="0"/>
          <w:sz w:val="22"/>
        </w:rPr>
        <w:t xml:space="preserve"> Real MediaPipe FaceMesh landmark trajectories extracted from a held-out subset of public-domain face videos that are licensed for academic use. Landmarks are computed live, the underlying video frames are discarded, and only the geometric descriptors of Section 4.1 are persisted. This protocol matches the deployed configuration of the proctoring pipeline.</w:t>
      </w:r>
    </w:p>
    <w:p>
      <w:pPr>
        <w:pStyle w:val="ListBullet"/>
      </w:pPr>
      <w:r>
        <w:rPr>
          <w:rFonts w:ascii="Times New Roman" w:hAnsi="Times New Roman" w:cs="Times New Roman"/>
          <w:b/>
          <w:i w:val="0"/>
          <w:sz w:val="22"/>
        </w:rPr>
        <w:t>D4 — Session scenarios.</w:t>
      </w:r>
      <w:r>
        <w:rPr>
          <w:rFonts w:ascii="Times New Roman" w:hAnsi="Times New Roman" w:cs="Times New Roman"/>
          <w:b w:val="0"/>
          <w:i w:val="0"/>
          <w:sz w:val="22"/>
        </w:rPr>
        <w:t xml:space="preserve"> A fusion-evaluation set built by combining real modality outputs from D1–D3 into 400 simulated exam sessions covering five high-level classes (</w:t>
      </w:r>
      <w:r>
        <w:rPr>
          <w:rFonts w:ascii="Times New Roman" w:hAnsi="Times New Roman" w:cs="Times New Roman"/>
          <w:b w:val="0"/>
          <w:i/>
          <w:sz w:val="22"/>
        </w:rPr>
        <w:t>normal, smartphone_use, off_screen_gaze, secondary_speaker, multi_anomaly</w:t>
      </w:r>
      <w:r>
        <w:rPr>
          <w:rFonts w:ascii="Times New Roman" w:hAnsi="Times New Roman" w:cs="Times New Roman"/>
          <w:b w:val="0"/>
          <w:i w:val="0"/>
          <w:sz w:val="22"/>
        </w:rPr>
        <w:t>). Crucially, the features fed to the fusion model are real per-clip outputs from YOLOv8, Whisper-Base, and FaceMesh — not statistical distributions designed by the authors — so the fusion model is trained and evaluated on the same kind of evidence it would receive in deployment.</w:t>
      </w:r>
    </w:p>
    <w:p>
      <w:pPr>
        <w:spacing w:after="80" w:line="288" w:lineRule="auto"/>
      </w:pPr>
      <w:r>
        <w:rPr>
          <w:rFonts w:ascii="Times New Roman" w:hAnsi="Times New Roman" w:cs="Times New Roman"/>
          <w:b w:val="0"/>
          <w:i w:val="0"/>
          <w:sz w:val="22"/>
        </w:rPr>
        <w:t>All datasets, generators, and trained-model state are reproducible from a fixed random seed (42).</w:t>
      </w:r>
    </w:p>
    <w:p>
      <w:pPr>
        <w:spacing w:before="160" w:after="80"/>
      </w:pPr>
      <w:r>
        <w:rPr>
          <w:rFonts w:ascii="Times New Roman" w:hAnsi="Times New Roman" w:cs="Times New Roman"/>
          <w:b/>
          <w:i w:val="0"/>
          <w:sz w:val="24"/>
        </w:rPr>
        <w:t>5.3 Evaluation Metrics</w:t>
      </w:r>
    </w:p>
    <w:p>
      <w:pPr>
        <w:spacing w:after="80" w:line="288" w:lineRule="auto"/>
      </w:pPr>
      <w:r>
        <w:rPr>
          <w:rFonts w:ascii="Times New Roman" w:hAnsi="Times New Roman" w:cs="Times New Roman"/>
          <w:b w:val="0"/>
          <w:i w:val="0"/>
          <w:sz w:val="22"/>
        </w:rPr>
        <w:t>For each binary task we report precision, recall, F1, ROC AUC, PR AUC, and a 95% bootstrap confidence interval on F1 (1,000 resamples). Multi-class detection (visual subsystem) uses per-class precision, recall, F1, and AP@0.5 with greedy IoU matching at threshold 0.5. Statistical significance of fusion-model differences is tested with McNemar's χ² (continuity-corrected).</w:t>
      </w:r>
    </w:p>
    <w:p>
      <w:pPr>
        <w:spacing w:after="80" w:line="288" w:lineRule="auto"/>
      </w:pPr>
      <w:r>
        <w:rPr>
          <w:rFonts w:ascii="Times New Roman" w:hAnsi="Times New Roman" w:cs="Times New Roman"/>
          <w:b w:val="0"/>
          <w:i w:val="0"/>
          <w:sz w:val="22"/>
        </w:rPr>
        <w:t>Latency is measured per-call with `time.perf_counter()` after a 3-call warmup; we report mean, standard deviation, median, p95, and p99 in milliseconds. Memory footprint is measured via `resource.getrusage`.</w:t>
      </w:r>
    </w:p>
    <w:p>
      <w:pPr>
        <w:spacing w:before="160" w:after="80"/>
      </w:pPr>
      <w:r>
        <w:rPr>
          <w:rFonts w:ascii="Times New Roman" w:hAnsi="Times New Roman" w:cs="Times New Roman"/>
          <w:b/>
          <w:i w:val="0"/>
          <w:sz w:val="28"/>
        </w:rPr>
        <w:t>6. Results</w:t>
      </w:r>
    </w:p>
    <w:p>
      <w:pPr>
        <w:spacing w:before="160" w:after="80"/>
      </w:pPr>
      <w:r>
        <w:rPr>
          <w:rFonts w:ascii="Times New Roman" w:hAnsi="Times New Roman" w:cs="Times New Roman"/>
          <w:b/>
          <w:i w:val="0"/>
          <w:sz w:val="24"/>
        </w:rPr>
        <w:t>6.1 Visual Subsystem (D1, real COCO data)</w:t>
      </w:r>
    </w:p>
    <w:p>
      <w:pPr>
        <w:spacing w:after="80" w:line="288" w:lineRule="auto"/>
      </w:pPr>
      <w:r>
        <w:rPr>
          <w:rFonts w:ascii="Times New Roman" w:hAnsi="Times New Roman" w:cs="Times New Roman"/>
          <w:b w:val="0"/>
          <w:i w:val="0"/>
          <w:sz w:val="22"/>
        </w:rPr>
        <w:t>Table 2 reports per-class metrics on the 217-image subset. Figure 2 (`fig_visual_pr_curves.png`) plots PR curves; Figure 3 (`fig_visual_tp_fp.png`) shows the TP/FP breakdown.</w:t>
      </w:r>
    </w:p>
    <w:p>
      <w:pPr>
        <w:spacing w:after="80" w:line="288" w:lineRule="auto"/>
      </w:pPr>
      <w:r>
        <w:rPr>
          <w:rFonts w:ascii="Times New Roman" w:hAnsi="Times New Roman" w:cs="Times New Roman"/>
          <w:b/>
          <w:i w:val="0"/>
          <w:sz w:val="22"/>
        </w:rPr>
        <w:t>Table 2. YOLOv8-s on the COCO val2017 proctoring subset.</w:t>
      </w:r>
    </w:p>
    <w:tbl>
      <w:tblPr>
        <w:tblStyle w:val="LightGrid-Accent1"/>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tcPr>
          <w:p>
            <w:r/>
            <w:r>
              <w:rPr>
                <w:rFonts w:ascii="Times New Roman" w:hAnsi="Times New Roman" w:cs="Times New Roman"/>
                <w:b/>
                <w:i w:val="0"/>
                <w:sz w:val="20"/>
              </w:rPr>
              <w:t>Class</w:t>
            </w:r>
          </w:p>
        </w:tc>
        <w:tc>
          <w:tcPr>
            <w:tcW w:type="dxa" w:w="1425"/>
            <w:vAlign w:val="center"/>
          </w:tcPr>
          <w:p>
            <w:r/>
            <w:r>
              <w:rPr>
                <w:rFonts w:ascii="Times New Roman" w:hAnsi="Times New Roman" w:cs="Times New Roman"/>
                <w:b/>
                <w:i w:val="0"/>
                <w:sz w:val="20"/>
              </w:rPr>
              <w:t>Ground truth</w:t>
            </w:r>
          </w:p>
        </w:tc>
        <w:tc>
          <w:tcPr>
            <w:tcW w:type="dxa" w:w="1425"/>
            <w:vAlign w:val="center"/>
          </w:tcPr>
          <w:p>
            <w:r/>
            <w:r>
              <w:rPr>
                <w:rFonts w:ascii="Times New Roman" w:hAnsi="Times New Roman" w:cs="Times New Roman"/>
                <w:b/>
                <w:i w:val="0"/>
                <w:sz w:val="20"/>
              </w:rPr>
              <w:t>Predictions</w:t>
            </w:r>
          </w:p>
        </w:tc>
        <w:tc>
          <w:tcPr>
            <w:tcW w:type="dxa" w:w="1425"/>
            <w:vAlign w:val="center"/>
          </w:tcPr>
          <w:p>
            <w:r/>
            <w:r>
              <w:rPr>
                <w:rFonts w:ascii="Times New Roman" w:hAnsi="Times New Roman" w:cs="Times New Roman"/>
                <w:b/>
                <w:i w:val="0"/>
                <w:sz w:val="20"/>
              </w:rPr>
              <w:t>Precision</w:t>
            </w:r>
          </w:p>
        </w:tc>
        <w:tc>
          <w:tcPr>
            <w:tcW w:type="dxa" w:w="1425"/>
            <w:vAlign w:val="center"/>
          </w:tcPr>
          <w:p>
            <w:r/>
            <w:r>
              <w:rPr>
                <w:rFonts w:ascii="Times New Roman" w:hAnsi="Times New Roman" w:cs="Times New Roman"/>
                <w:b/>
                <w:i w:val="0"/>
                <w:sz w:val="20"/>
              </w:rPr>
              <w:t>Recall</w:t>
            </w:r>
          </w:p>
        </w:tc>
        <w:tc>
          <w:tcPr>
            <w:tcW w:type="dxa" w:w="1425"/>
            <w:vAlign w:val="center"/>
          </w:tcPr>
          <w:p>
            <w:r/>
            <w:r>
              <w:rPr>
                <w:rFonts w:ascii="Times New Roman" w:hAnsi="Times New Roman" w:cs="Times New Roman"/>
                <w:b/>
                <w:i w:val="0"/>
                <w:sz w:val="20"/>
              </w:rPr>
              <w:t>F1</w:t>
            </w:r>
          </w:p>
        </w:tc>
        <w:tc>
          <w:tcPr>
            <w:tcW w:type="dxa" w:w="1425"/>
            <w:vAlign w:val="center"/>
          </w:tcPr>
          <w:p>
            <w:r/>
            <w:r>
              <w:rPr>
                <w:rFonts w:ascii="Times New Roman" w:hAnsi="Times New Roman" w:cs="Times New Roman"/>
                <w:b/>
                <w:i w:val="0"/>
                <w:sz w:val="20"/>
              </w:rPr>
              <w:t>AP@0.5</w:t>
            </w:r>
          </w:p>
        </w:tc>
      </w:tr>
      <w:tr>
        <w:tc>
          <w:tcPr>
            <w:tcW w:type="dxa" w:w="1425"/>
            <w:vAlign w:val="center"/>
          </w:tcPr>
          <w:p>
            <w:r/>
            <w:r>
              <w:rPr>
                <w:rFonts w:ascii="Times New Roman" w:hAnsi="Times New Roman" w:cs="Times New Roman"/>
                <w:b w:val="0"/>
                <w:i w:val="0"/>
                <w:sz w:val="20"/>
              </w:rPr>
              <w:t>person</w:t>
            </w:r>
          </w:p>
        </w:tc>
        <w:tc>
          <w:tcPr>
            <w:tcW w:type="dxa" w:w="1425"/>
            <w:vAlign w:val="center"/>
          </w:tcPr>
          <w:p>
            <w:r/>
            <w:r>
              <w:rPr>
                <w:rFonts w:ascii="Times New Roman" w:hAnsi="Times New Roman" w:cs="Times New Roman"/>
                <w:b w:val="0"/>
                <w:i w:val="0"/>
                <w:sz w:val="20"/>
              </w:rPr>
              <w:t>449</w:t>
            </w:r>
          </w:p>
        </w:tc>
        <w:tc>
          <w:tcPr>
            <w:tcW w:type="dxa" w:w="1425"/>
            <w:vAlign w:val="center"/>
          </w:tcPr>
          <w:p>
            <w:r/>
            <w:r>
              <w:rPr>
                <w:rFonts w:ascii="Times New Roman" w:hAnsi="Times New Roman" w:cs="Times New Roman"/>
                <w:b w:val="0"/>
                <w:i w:val="0"/>
                <w:sz w:val="20"/>
              </w:rPr>
              <w:t>356</w:t>
            </w:r>
          </w:p>
        </w:tc>
        <w:tc>
          <w:tcPr>
            <w:tcW w:type="dxa" w:w="1425"/>
            <w:vAlign w:val="center"/>
          </w:tcPr>
          <w:p>
            <w:r/>
            <w:r>
              <w:rPr>
                <w:rFonts w:ascii="Times New Roman" w:hAnsi="Times New Roman" w:cs="Times New Roman"/>
                <w:b w:val="0"/>
                <w:i w:val="0"/>
                <w:sz w:val="20"/>
              </w:rPr>
              <w:t>0.843</w:t>
            </w:r>
          </w:p>
        </w:tc>
        <w:tc>
          <w:tcPr>
            <w:tcW w:type="dxa" w:w="1425"/>
            <w:vAlign w:val="center"/>
          </w:tcPr>
          <w:p>
            <w:r/>
            <w:r>
              <w:rPr>
                <w:rFonts w:ascii="Times New Roman" w:hAnsi="Times New Roman" w:cs="Times New Roman"/>
                <w:b w:val="0"/>
                <w:i w:val="0"/>
                <w:sz w:val="20"/>
              </w:rPr>
              <w:t>0.668</w:t>
            </w:r>
          </w:p>
        </w:tc>
        <w:tc>
          <w:tcPr>
            <w:tcW w:type="dxa" w:w="1425"/>
            <w:vAlign w:val="center"/>
          </w:tcPr>
          <w:p>
            <w:r/>
            <w:r>
              <w:rPr>
                <w:rFonts w:ascii="Times New Roman" w:hAnsi="Times New Roman" w:cs="Times New Roman"/>
                <w:b w:val="0"/>
                <w:i w:val="0"/>
                <w:sz w:val="20"/>
              </w:rPr>
              <w:t>0.745</w:t>
            </w:r>
          </w:p>
        </w:tc>
        <w:tc>
          <w:tcPr>
            <w:tcW w:type="dxa" w:w="1425"/>
            <w:vAlign w:val="center"/>
          </w:tcPr>
          <w:p>
            <w:r/>
            <w:r>
              <w:rPr>
                <w:rFonts w:ascii="Times New Roman" w:hAnsi="Times New Roman" w:cs="Times New Roman"/>
                <w:b w:val="0"/>
                <w:i w:val="0"/>
                <w:sz w:val="20"/>
              </w:rPr>
              <w:t>0.624</w:t>
            </w:r>
          </w:p>
        </w:tc>
      </w:tr>
      <w:tr>
        <w:tc>
          <w:tcPr>
            <w:tcW w:type="dxa" w:w="1425"/>
            <w:vAlign w:val="center"/>
          </w:tcPr>
          <w:p>
            <w:r/>
            <w:r>
              <w:rPr>
                <w:rFonts w:ascii="Times New Roman" w:hAnsi="Times New Roman" w:cs="Times New Roman"/>
                <w:b w:val="0"/>
                <w:i w:val="0"/>
                <w:sz w:val="20"/>
              </w:rPr>
              <w:t>tv</w:t>
            </w:r>
          </w:p>
        </w:tc>
        <w:tc>
          <w:tcPr>
            <w:tcW w:type="dxa" w:w="1425"/>
            <w:vAlign w:val="center"/>
          </w:tcPr>
          <w:p>
            <w:r/>
            <w:r>
              <w:rPr>
                <w:rFonts w:ascii="Times New Roman" w:hAnsi="Times New Roman" w:cs="Times New Roman"/>
                <w:b w:val="0"/>
                <w:i w:val="0"/>
                <w:sz w:val="20"/>
              </w:rPr>
              <w:t>128</w:t>
            </w:r>
          </w:p>
        </w:tc>
        <w:tc>
          <w:tcPr>
            <w:tcW w:type="dxa" w:w="1425"/>
            <w:vAlign w:val="center"/>
          </w:tcPr>
          <w:p>
            <w:r/>
            <w:r>
              <w:rPr>
                <w:rFonts w:ascii="Times New Roman" w:hAnsi="Times New Roman" w:cs="Times New Roman"/>
                <w:b w:val="0"/>
                <w:i w:val="0"/>
                <w:sz w:val="20"/>
              </w:rPr>
              <w:t>104</w:t>
            </w:r>
          </w:p>
        </w:tc>
        <w:tc>
          <w:tcPr>
            <w:tcW w:type="dxa" w:w="1425"/>
            <w:vAlign w:val="center"/>
          </w:tcPr>
          <w:p>
            <w:r/>
            <w:r>
              <w:rPr>
                <w:rFonts w:ascii="Times New Roman" w:hAnsi="Times New Roman" w:cs="Times New Roman"/>
                <w:b w:val="0"/>
                <w:i w:val="0"/>
                <w:sz w:val="20"/>
              </w:rPr>
              <w:t>0.875</w:t>
            </w:r>
          </w:p>
        </w:tc>
        <w:tc>
          <w:tcPr>
            <w:tcW w:type="dxa" w:w="1425"/>
            <w:vAlign w:val="center"/>
          </w:tcPr>
          <w:p>
            <w:r/>
            <w:r>
              <w:rPr>
                <w:rFonts w:ascii="Times New Roman" w:hAnsi="Times New Roman" w:cs="Times New Roman"/>
                <w:b w:val="0"/>
                <w:i w:val="0"/>
                <w:sz w:val="20"/>
              </w:rPr>
              <w:t>0.711</w:t>
            </w:r>
          </w:p>
        </w:tc>
        <w:tc>
          <w:tcPr>
            <w:tcW w:type="dxa" w:w="1425"/>
            <w:vAlign w:val="center"/>
          </w:tcPr>
          <w:p>
            <w:r/>
            <w:r>
              <w:rPr>
                <w:rFonts w:ascii="Times New Roman" w:hAnsi="Times New Roman" w:cs="Times New Roman"/>
                <w:b w:val="0"/>
                <w:i w:val="0"/>
                <w:sz w:val="20"/>
              </w:rPr>
              <w:t>0.784</w:t>
            </w:r>
          </w:p>
        </w:tc>
        <w:tc>
          <w:tcPr>
            <w:tcW w:type="dxa" w:w="1425"/>
            <w:vAlign w:val="center"/>
          </w:tcPr>
          <w:p>
            <w:r/>
            <w:r>
              <w:rPr>
                <w:rFonts w:ascii="Times New Roman" w:hAnsi="Times New Roman" w:cs="Times New Roman"/>
                <w:b w:val="0"/>
                <w:i w:val="0"/>
                <w:sz w:val="20"/>
              </w:rPr>
              <w:t>0.701</w:t>
            </w:r>
          </w:p>
        </w:tc>
      </w:tr>
      <w:tr>
        <w:tc>
          <w:tcPr>
            <w:tcW w:type="dxa" w:w="1425"/>
            <w:vAlign w:val="center"/>
          </w:tcPr>
          <w:p>
            <w:r/>
            <w:r>
              <w:rPr>
                <w:rFonts w:ascii="Times New Roman" w:hAnsi="Times New Roman" w:cs="Times New Roman"/>
                <w:b w:val="0"/>
                <w:i w:val="0"/>
                <w:sz w:val="20"/>
              </w:rPr>
              <w:t>laptop</w:t>
            </w:r>
          </w:p>
        </w:tc>
        <w:tc>
          <w:tcPr>
            <w:tcW w:type="dxa" w:w="1425"/>
            <w:vAlign w:val="center"/>
          </w:tcPr>
          <w:p>
            <w:r/>
            <w:r>
              <w:rPr>
                <w:rFonts w:ascii="Times New Roman" w:hAnsi="Times New Roman" w:cs="Times New Roman"/>
                <w:b w:val="0"/>
                <w:i w:val="0"/>
                <w:sz w:val="20"/>
              </w:rPr>
              <w:t>91</w:t>
            </w:r>
          </w:p>
        </w:tc>
        <w:tc>
          <w:tcPr>
            <w:tcW w:type="dxa" w:w="1425"/>
            <w:vAlign w:val="center"/>
          </w:tcPr>
          <w:p>
            <w:r/>
            <w:r>
              <w:rPr>
                <w:rFonts w:ascii="Times New Roman" w:hAnsi="Times New Roman" w:cs="Times New Roman"/>
                <w:b w:val="0"/>
                <w:i w:val="0"/>
                <w:sz w:val="20"/>
              </w:rPr>
              <w:t>92</w:t>
            </w:r>
          </w:p>
        </w:tc>
        <w:tc>
          <w:tcPr>
            <w:tcW w:type="dxa" w:w="1425"/>
            <w:vAlign w:val="center"/>
          </w:tcPr>
          <w:p>
            <w:r/>
            <w:r>
              <w:rPr>
                <w:rFonts w:ascii="Times New Roman" w:hAnsi="Times New Roman" w:cs="Times New Roman"/>
                <w:b w:val="0"/>
                <w:i w:val="0"/>
                <w:sz w:val="20"/>
              </w:rPr>
              <w:t>0.772</w:t>
            </w:r>
          </w:p>
        </w:tc>
        <w:tc>
          <w:tcPr>
            <w:tcW w:type="dxa" w:w="1425"/>
            <w:vAlign w:val="center"/>
          </w:tcPr>
          <w:p>
            <w:r/>
            <w:r>
              <w:rPr>
                <w:rFonts w:ascii="Times New Roman" w:hAnsi="Times New Roman" w:cs="Times New Roman"/>
                <w:b w:val="0"/>
                <w:i w:val="0"/>
                <w:sz w:val="20"/>
              </w:rPr>
              <w:t>0.780</w:t>
            </w:r>
          </w:p>
        </w:tc>
        <w:tc>
          <w:tcPr>
            <w:tcW w:type="dxa" w:w="1425"/>
            <w:vAlign w:val="center"/>
          </w:tcPr>
          <w:p>
            <w:r/>
            <w:r>
              <w:rPr>
                <w:rFonts w:ascii="Times New Roman" w:hAnsi="Times New Roman" w:cs="Times New Roman"/>
                <w:b w:val="0"/>
                <w:i w:val="0"/>
                <w:sz w:val="20"/>
              </w:rPr>
              <w:t>0.776</w:t>
            </w:r>
          </w:p>
        </w:tc>
        <w:tc>
          <w:tcPr>
            <w:tcW w:type="dxa" w:w="1425"/>
            <w:vAlign w:val="center"/>
          </w:tcPr>
          <w:p>
            <w:r/>
            <w:r>
              <w:rPr>
                <w:rFonts w:ascii="Times New Roman" w:hAnsi="Times New Roman" w:cs="Times New Roman"/>
                <w:b w:val="0"/>
                <w:i w:val="0"/>
                <w:sz w:val="20"/>
              </w:rPr>
              <w:t>0.759</w:t>
            </w:r>
          </w:p>
        </w:tc>
      </w:tr>
      <w:tr>
        <w:tc>
          <w:tcPr>
            <w:tcW w:type="dxa" w:w="1425"/>
            <w:vAlign w:val="center"/>
          </w:tcPr>
          <w:p>
            <w:r/>
            <w:r>
              <w:rPr>
                <w:rFonts w:ascii="Times New Roman" w:hAnsi="Times New Roman" w:cs="Times New Roman"/>
                <w:b w:val="0"/>
                <w:i w:val="0"/>
                <w:sz w:val="20"/>
              </w:rPr>
              <w:t>mouse</w:t>
            </w:r>
          </w:p>
        </w:tc>
        <w:tc>
          <w:tcPr>
            <w:tcW w:type="dxa" w:w="1425"/>
            <w:vAlign w:val="center"/>
          </w:tcPr>
          <w:p>
            <w:r/>
            <w:r>
              <w:rPr>
                <w:rFonts w:ascii="Times New Roman" w:hAnsi="Times New Roman" w:cs="Times New Roman"/>
                <w:b w:val="0"/>
                <w:i w:val="0"/>
                <w:sz w:val="20"/>
              </w:rPr>
              <w:t>62</w:t>
            </w:r>
          </w:p>
        </w:tc>
        <w:tc>
          <w:tcPr>
            <w:tcW w:type="dxa" w:w="1425"/>
            <w:vAlign w:val="center"/>
          </w:tcPr>
          <w:p>
            <w:r/>
            <w:r>
              <w:rPr>
                <w:rFonts w:ascii="Times New Roman" w:hAnsi="Times New Roman" w:cs="Times New Roman"/>
                <w:b w:val="0"/>
                <w:i w:val="0"/>
                <w:sz w:val="20"/>
              </w:rPr>
              <w:t>43</w:t>
            </w:r>
          </w:p>
        </w:tc>
        <w:tc>
          <w:tcPr>
            <w:tcW w:type="dxa" w:w="1425"/>
            <w:vAlign w:val="center"/>
          </w:tcPr>
          <w:p>
            <w:r/>
            <w:r>
              <w:rPr>
                <w:rFonts w:ascii="Times New Roman" w:hAnsi="Times New Roman" w:cs="Times New Roman"/>
                <w:b w:val="0"/>
                <w:i w:val="0"/>
                <w:sz w:val="20"/>
              </w:rPr>
              <w:t>0.884</w:t>
            </w:r>
          </w:p>
        </w:tc>
        <w:tc>
          <w:tcPr>
            <w:tcW w:type="dxa" w:w="1425"/>
            <w:vAlign w:val="center"/>
          </w:tcPr>
          <w:p>
            <w:r/>
            <w:r>
              <w:rPr>
                <w:rFonts w:ascii="Times New Roman" w:hAnsi="Times New Roman" w:cs="Times New Roman"/>
                <w:b w:val="0"/>
                <w:i w:val="0"/>
                <w:sz w:val="20"/>
              </w:rPr>
              <w:t>0.613</w:t>
            </w:r>
          </w:p>
        </w:tc>
        <w:tc>
          <w:tcPr>
            <w:tcW w:type="dxa" w:w="1425"/>
            <w:vAlign w:val="center"/>
          </w:tcPr>
          <w:p>
            <w:r/>
            <w:r>
              <w:rPr>
                <w:rFonts w:ascii="Times New Roman" w:hAnsi="Times New Roman" w:cs="Times New Roman"/>
                <w:b w:val="0"/>
                <w:i w:val="0"/>
                <w:sz w:val="20"/>
              </w:rPr>
              <w:t>0.724</w:t>
            </w:r>
          </w:p>
        </w:tc>
        <w:tc>
          <w:tcPr>
            <w:tcW w:type="dxa" w:w="1425"/>
            <w:vAlign w:val="center"/>
          </w:tcPr>
          <w:p>
            <w:r/>
            <w:r>
              <w:rPr>
                <w:rFonts w:ascii="Times New Roman" w:hAnsi="Times New Roman" w:cs="Times New Roman"/>
                <w:b w:val="0"/>
                <w:i w:val="0"/>
                <w:sz w:val="20"/>
              </w:rPr>
              <w:t>0.611</w:t>
            </w:r>
          </w:p>
        </w:tc>
      </w:tr>
      <w:tr>
        <w:tc>
          <w:tcPr>
            <w:tcW w:type="dxa" w:w="1425"/>
            <w:vAlign w:val="center"/>
          </w:tcPr>
          <w:p>
            <w:r/>
            <w:r>
              <w:rPr>
                <w:rFonts w:ascii="Times New Roman" w:hAnsi="Times New Roman" w:cs="Times New Roman"/>
                <w:b w:val="0"/>
                <w:i w:val="0"/>
                <w:sz w:val="20"/>
              </w:rPr>
              <w:t>keyboard</w:t>
            </w:r>
          </w:p>
        </w:tc>
        <w:tc>
          <w:tcPr>
            <w:tcW w:type="dxa" w:w="1425"/>
            <w:vAlign w:val="center"/>
          </w:tcPr>
          <w:p>
            <w:r/>
            <w:r>
              <w:rPr>
                <w:rFonts w:ascii="Times New Roman" w:hAnsi="Times New Roman" w:cs="Times New Roman"/>
                <w:b w:val="0"/>
                <w:i w:val="0"/>
                <w:sz w:val="20"/>
              </w:rPr>
              <w:t>95</w:t>
            </w:r>
          </w:p>
        </w:tc>
        <w:tc>
          <w:tcPr>
            <w:tcW w:type="dxa" w:w="1425"/>
            <w:vAlign w:val="center"/>
          </w:tcPr>
          <w:p>
            <w:r/>
            <w:r>
              <w:rPr>
                <w:rFonts w:ascii="Times New Roman" w:hAnsi="Times New Roman" w:cs="Times New Roman"/>
                <w:b w:val="0"/>
                <w:i w:val="0"/>
                <w:sz w:val="20"/>
              </w:rPr>
              <w:t>77</w:t>
            </w:r>
          </w:p>
        </w:tc>
        <w:tc>
          <w:tcPr>
            <w:tcW w:type="dxa" w:w="1425"/>
            <w:vAlign w:val="center"/>
          </w:tcPr>
          <w:p>
            <w:r/>
            <w:r>
              <w:rPr>
                <w:rFonts w:ascii="Times New Roman" w:hAnsi="Times New Roman" w:cs="Times New Roman"/>
                <w:b w:val="0"/>
                <w:i w:val="0"/>
                <w:sz w:val="20"/>
              </w:rPr>
              <w:t>0.753</w:t>
            </w:r>
          </w:p>
        </w:tc>
        <w:tc>
          <w:tcPr>
            <w:tcW w:type="dxa" w:w="1425"/>
            <w:vAlign w:val="center"/>
          </w:tcPr>
          <w:p>
            <w:r/>
            <w:r>
              <w:rPr>
                <w:rFonts w:ascii="Times New Roman" w:hAnsi="Times New Roman" w:cs="Times New Roman"/>
                <w:b w:val="0"/>
                <w:i w:val="0"/>
                <w:sz w:val="20"/>
              </w:rPr>
              <w:t>0.611</w:t>
            </w:r>
          </w:p>
        </w:tc>
        <w:tc>
          <w:tcPr>
            <w:tcW w:type="dxa" w:w="1425"/>
            <w:vAlign w:val="center"/>
          </w:tcPr>
          <w:p>
            <w:r/>
            <w:r>
              <w:rPr>
                <w:rFonts w:ascii="Times New Roman" w:hAnsi="Times New Roman" w:cs="Times New Roman"/>
                <w:b w:val="0"/>
                <w:i w:val="0"/>
                <w:sz w:val="20"/>
              </w:rPr>
              <w:t>0.674</w:t>
            </w:r>
          </w:p>
        </w:tc>
        <w:tc>
          <w:tcPr>
            <w:tcW w:type="dxa" w:w="1425"/>
            <w:vAlign w:val="center"/>
          </w:tcPr>
          <w:p>
            <w:r/>
            <w:r>
              <w:rPr>
                <w:rFonts w:ascii="Times New Roman" w:hAnsi="Times New Roman" w:cs="Times New Roman"/>
                <w:b w:val="0"/>
                <w:i w:val="0"/>
                <w:sz w:val="20"/>
              </w:rPr>
              <w:t>0.581</w:t>
            </w:r>
          </w:p>
        </w:tc>
      </w:tr>
      <w:tr>
        <w:tc>
          <w:tcPr>
            <w:tcW w:type="dxa" w:w="1425"/>
            <w:vAlign w:val="center"/>
          </w:tcPr>
          <w:p>
            <w:r/>
            <w:r>
              <w:rPr>
                <w:rFonts w:ascii="Times New Roman" w:hAnsi="Times New Roman" w:cs="Times New Roman"/>
                <w:b w:val="0"/>
                <w:i w:val="0"/>
                <w:sz w:val="20"/>
              </w:rPr>
              <w:t>cell phone</w:t>
            </w:r>
          </w:p>
        </w:tc>
        <w:tc>
          <w:tcPr>
            <w:tcW w:type="dxa" w:w="1425"/>
            <w:vAlign w:val="center"/>
          </w:tcPr>
          <w:p>
            <w:r/>
            <w:r>
              <w:rPr>
                <w:rFonts w:ascii="Times New Roman" w:hAnsi="Times New Roman" w:cs="Times New Roman"/>
                <w:b w:val="0"/>
                <w:i w:val="0"/>
                <w:sz w:val="20"/>
              </w:rPr>
              <w:t>74</w:t>
            </w:r>
          </w:p>
        </w:tc>
        <w:tc>
          <w:tcPr>
            <w:tcW w:type="dxa" w:w="1425"/>
            <w:vAlign w:val="center"/>
          </w:tcPr>
          <w:p>
            <w:r/>
            <w:r>
              <w:rPr>
                <w:rFonts w:ascii="Times New Roman" w:hAnsi="Times New Roman" w:cs="Times New Roman"/>
                <w:b w:val="0"/>
                <w:i w:val="0"/>
                <w:sz w:val="20"/>
              </w:rPr>
              <w:t>40</w:t>
            </w:r>
          </w:p>
        </w:tc>
        <w:tc>
          <w:tcPr>
            <w:tcW w:type="dxa" w:w="1425"/>
            <w:vAlign w:val="center"/>
          </w:tcPr>
          <w:p>
            <w:r/>
            <w:r>
              <w:rPr>
                <w:rFonts w:ascii="Times New Roman" w:hAnsi="Times New Roman" w:cs="Times New Roman"/>
                <w:b w:val="0"/>
                <w:i w:val="0"/>
                <w:sz w:val="20"/>
              </w:rPr>
              <w:t>0.600</w:t>
            </w:r>
          </w:p>
        </w:tc>
        <w:tc>
          <w:tcPr>
            <w:tcW w:type="dxa" w:w="1425"/>
            <w:vAlign w:val="center"/>
          </w:tcPr>
          <w:p>
            <w:r/>
            <w:r>
              <w:rPr>
                <w:rFonts w:ascii="Times New Roman" w:hAnsi="Times New Roman" w:cs="Times New Roman"/>
                <w:b w:val="0"/>
                <w:i w:val="0"/>
                <w:sz w:val="20"/>
              </w:rPr>
              <w:t>0.324</w:t>
            </w:r>
          </w:p>
        </w:tc>
        <w:tc>
          <w:tcPr>
            <w:tcW w:type="dxa" w:w="1425"/>
            <w:vAlign w:val="center"/>
          </w:tcPr>
          <w:p>
            <w:r/>
            <w:r>
              <w:rPr>
                <w:rFonts w:ascii="Times New Roman" w:hAnsi="Times New Roman" w:cs="Times New Roman"/>
                <w:b w:val="0"/>
                <w:i w:val="0"/>
                <w:sz w:val="20"/>
              </w:rPr>
              <w:t>0.421</w:t>
            </w:r>
          </w:p>
        </w:tc>
        <w:tc>
          <w:tcPr>
            <w:tcW w:type="dxa" w:w="1425"/>
            <w:vAlign w:val="center"/>
          </w:tcPr>
          <w:p>
            <w:r/>
            <w:r>
              <w:rPr>
                <w:rFonts w:ascii="Times New Roman" w:hAnsi="Times New Roman" w:cs="Times New Roman"/>
                <w:b w:val="0"/>
                <w:i w:val="0"/>
                <w:sz w:val="20"/>
              </w:rPr>
              <w:t>0.300</w:t>
            </w:r>
          </w:p>
        </w:tc>
      </w:tr>
      <w:tr>
        <w:tc>
          <w:tcPr>
            <w:tcW w:type="dxa" w:w="1425"/>
            <w:vAlign w:val="center"/>
          </w:tcPr>
          <w:p>
            <w:r/>
            <w:r>
              <w:rPr>
                <w:rFonts w:ascii="Times New Roman" w:hAnsi="Times New Roman" w:cs="Times New Roman"/>
                <w:b w:val="0"/>
                <w:i w:val="0"/>
                <w:sz w:val="20"/>
              </w:rPr>
              <w:t>book</w:t>
            </w:r>
          </w:p>
        </w:tc>
        <w:tc>
          <w:tcPr>
            <w:tcW w:type="dxa" w:w="1425"/>
            <w:vAlign w:val="center"/>
          </w:tcPr>
          <w:p>
            <w:r/>
            <w:r>
              <w:rPr>
                <w:rFonts w:ascii="Times New Roman" w:hAnsi="Times New Roman" w:cs="Times New Roman"/>
                <w:b w:val="0"/>
                <w:i w:val="0"/>
                <w:sz w:val="20"/>
              </w:rPr>
              <w:t>265</w:t>
            </w:r>
          </w:p>
        </w:tc>
        <w:tc>
          <w:tcPr>
            <w:tcW w:type="dxa" w:w="1425"/>
            <w:vAlign w:val="center"/>
          </w:tcPr>
          <w:p>
            <w:r/>
            <w:r>
              <w:rPr>
                <w:rFonts w:ascii="Times New Roman" w:hAnsi="Times New Roman" w:cs="Times New Roman"/>
                <w:b w:val="0"/>
                <w:i w:val="0"/>
                <w:sz w:val="20"/>
              </w:rPr>
              <w:t>34</w:t>
            </w:r>
          </w:p>
        </w:tc>
        <w:tc>
          <w:tcPr>
            <w:tcW w:type="dxa" w:w="1425"/>
            <w:vAlign w:val="center"/>
          </w:tcPr>
          <w:p>
            <w:r/>
            <w:r>
              <w:rPr>
                <w:rFonts w:ascii="Times New Roman" w:hAnsi="Times New Roman" w:cs="Times New Roman"/>
                <w:b w:val="0"/>
                <w:i w:val="0"/>
                <w:sz w:val="20"/>
              </w:rPr>
              <w:t>0.529</w:t>
            </w:r>
          </w:p>
        </w:tc>
        <w:tc>
          <w:tcPr>
            <w:tcW w:type="dxa" w:w="1425"/>
            <w:vAlign w:val="center"/>
          </w:tcPr>
          <w:p>
            <w:r/>
            <w:r>
              <w:rPr>
                <w:rFonts w:ascii="Times New Roman" w:hAnsi="Times New Roman" w:cs="Times New Roman"/>
                <w:b w:val="0"/>
                <w:i w:val="0"/>
                <w:sz w:val="20"/>
              </w:rPr>
              <w:t>0.068</w:t>
            </w:r>
          </w:p>
        </w:tc>
        <w:tc>
          <w:tcPr>
            <w:tcW w:type="dxa" w:w="1425"/>
            <w:vAlign w:val="center"/>
          </w:tcPr>
          <w:p>
            <w:r/>
            <w:r>
              <w:rPr>
                <w:rFonts w:ascii="Times New Roman" w:hAnsi="Times New Roman" w:cs="Times New Roman"/>
                <w:b w:val="0"/>
                <w:i w:val="0"/>
                <w:sz w:val="20"/>
              </w:rPr>
              <w:t>0.120</w:t>
            </w:r>
          </w:p>
        </w:tc>
        <w:tc>
          <w:tcPr>
            <w:tcW w:type="dxa" w:w="1425"/>
            <w:vAlign w:val="center"/>
          </w:tcPr>
          <w:p>
            <w:r/>
            <w:r>
              <w:rPr>
                <w:rFonts w:ascii="Times New Roman" w:hAnsi="Times New Roman" w:cs="Times New Roman"/>
                <w:b w:val="0"/>
                <w:i w:val="0"/>
                <w:sz w:val="20"/>
              </w:rPr>
              <w:t>0.056</w:t>
            </w:r>
          </w:p>
        </w:tc>
      </w:tr>
      <w:tr>
        <w:tc>
          <w:tcPr>
            <w:tcW w:type="dxa" w:w="1425"/>
            <w:vAlign w:val="center"/>
          </w:tcPr>
          <w:p>
            <w:r/>
            <w:r>
              <w:rPr>
                <w:rFonts w:ascii="Times New Roman" w:hAnsi="Times New Roman" w:cs="Times New Roman"/>
                <w:b/>
                <w:i w:val="0"/>
                <w:sz w:val="20"/>
              </w:rPr>
              <w:t>Macro</w:t>
            </w:r>
          </w:p>
        </w:tc>
        <w:tc>
          <w:tcPr>
            <w:tcW w:type="dxa" w:w="1425"/>
            <w:vAlign w:val="center"/>
          </w:tcPr>
          <w:p>
            <w:r/>
            <w:r>
              <w:rPr>
                <w:rFonts w:ascii="Times New Roman" w:hAnsi="Times New Roman" w:cs="Times New Roman"/>
                <w:b w:val="0"/>
                <w:i w:val="0"/>
                <w:sz w:val="20"/>
              </w:rPr>
            </w:r>
          </w:p>
        </w:tc>
        <w:tc>
          <w:tcPr>
            <w:tcW w:type="dxa" w:w="1425"/>
            <w:vAlign w:val="center"/>
          </w:tcPr>
          <w:p>
            <w:r/>
            <w:r>
              <w:rPr>
                <w:rFonts w:ascii="Times New Roman" w:hAnsi="Times New Roman" w:cs="Times New Roman"/>
                <w:b w:val="0"/>
                <w:i w:val="0"/>
                <w:sz w:val="20"/>
              </w:rPr>
            </w:r>
          </w:p>
        </w:tc>
        <w:tc>
          <w:tcPr>
            <w:tcW w:type="dxa" w:w="1425"/>
            <w:vAlign w:val="center"/>
          </w:tcPr>
          <w:p>
            <w:r/>
            <w:r>
              <w:rPr>
                <w:rFonts w:ascii="Times New Roman" w:hAnsi="Times New Roman" w:cs="Times New Roman"/>
                <w:b w:val="0"/>
                <w:i w:val="0"/>
                <w:sz w:val="20"/>
              </w:rPr>
            </w:r>
          </w:p>
        </w:tc>
        <w:tc>
          <w:tcPr>
            <w:tcW w:type="dxa" w:w="1425"/>
            <w:vAlign w:val="center"/>
          </w:tcPr>
          <w:p>
            <w:r/>
            <w:r>
              <w:rPr>
                <w:rFonts w:ascii="Times New Roman" w:hAnsi="Times New Roman" w:cs="Times New Roman"/>
                <w:b w:val="0"/>
                <w:i w:val="0"/>
                <w:sz w:val="20"/>
              </w:rPr>
            </w:r>
          </w:p>
        </w:tc>
        <w:tc>
          <w:tcPr>
            <w:tcW w:type="dxa" w:w="1425"/>
            <w:vAlign w:val="center"/>
          </w:tcPr>
          <w:p>
            <w:r/>
            <w:r>
              <w:rPr>
                <w:rFonts w:ascii="Times New Roman" w:hAnsi="Times New Roman" w:cs="Times New Roman"/>
                <w:b/>
                <w:i w:val="0"/>
                <w:sz w:val="20"/>
              </w:rPr>
              <w:t>0.606</w:t>
            </w:r>
          </w:p>
        </w:tc>
        <w:tc>
          <w:tcPr>
            <w:tcW w:type="dxa" w:w="1425"/>
            <w:vAlign w:val="center"/>
          </w:tcPr>
          <w:p>
            <w:r/>
            <w:r>
              <w:rPr>
                <w:rFonts w:ascii="Times New Roman" w:hAnsi="Times New Roman" w:cs="Times New Roman"/>
                <w:b/>
                <w:i w:val="0"/>
                <w:sz w:val="20"/>
              </w:rPr>
              <w:t>0.519</w:t>
            </w:r>
          </w:p>
        </w:tc>
      </w:tr>
    </w:tbl>
    <w:p>
      <w:pPr>
        <w:spacing w:after="160"/>
      </w:pPr>
    </w:p>
    <w:p>
      <w:pPr>
        <w:spacing w:after="80" w:line="288" w:lineRule="auto"/>
      </w:pPr>
      <w:r>
        <w:rPr>
          <w:rFonts w:ascii="Times New Roman" w:hAnsi="Times New Roman" w:cs="Times New Roman"/>
          <w:b w:val="0"/>
          <w:i w:val="0"/>
          <w:sz w:val="22"/>
        </w:rPr>
        <w:t>Mean per-image inference latency on the COCO subset is 44.6 ms (≈ 22 images per second on the Apple M4 Max host).</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fig_visual_pr_curves.png"/>
                    <pic:cNvPicPr/>
                  </pic:nvPicPr>
                  <pic:blipFill>
                    <a:blip r:embed="rId11"/>
                    <a:stretch>
                      <a:fillRect/>
                    </a:stretch>
                  </pic:blipFill>
                  <pic:spPr>
                    <a:xfrm>
                      <a:off x="0" y="0"/>
                      <a:ext cx="5486400" cy="3918857"/>
                    </a:xfrm>
                    <a:prstGeom prst="rect"/>
                  </pic:spPr>
                </pic:pic>
              </a:graphicData>
            </a:graphic>
          </wp:inline>
        </w:drawing>
      </w:r>
    </w:p>
    <w:p>
      <w:pPr>
        <w:spacing w:after="200"/>
        <w:jc w:val="center"/>
      </w:pPr>
      <w:r>
        <w:rPr>
          <w:rFonts w:ascii="Times New Roman" w:hAnsi="Times New Roman" w:cs="Times New Roman"/>
          <w:b w:val="0"/>
          <w:i/>
          <w:sz w:val="18"/>
        </w:rPr>
        <w:t>Figure 3. Precision-recall curves of YOLOv8-s on the COCO val2017 proctoring subset (217 images, 1,164 annotations).</w:t>
      </w:r>
    </w:p>
    <w:p>
      <w:pPr>
        <w:jc w:val="center"/>
      </w:pPr>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fig_visual_tp_fp.png"/>
                    <pic:cNvPicPr/>
                  </pic:nvPicPr>
                  <pic:blipFill>
                    <a:blip r:embed="rId12"/>
                    <a:stretch>
                      <a:fillRect/>
                    </a:stretch>
                  </pic:blipFill>
                  <pic:spPr>
                    <a:xfrm>
                      <a:off x="0" y="0"/>
                      <a:ext cx="5486400" cy="3135086"/>
                    </a:xfrm>
                    <a:prstGeom prst="rect"/>
                  </pic:spPr>
                </pic:pic>
              </a:graphicData>
            </a:graphic>
          </wp:inline>
        </w:drawing>
      </w:r>
    </w:p>
    <w:p>
      <w:pPr>
        <w:spacing w:after="200"/>
        <w:jc w:val="center"/>
      </w:pPr>
      <w:r>
        <w:rPr>
          <w:rFonts w:ascii="Times New Roman" w:hAnsi="Times New Roman" w:cs="Times New Roman"/>
          <w:b w:val="0"/>
          <w:i/>
          <w:sz w:val="18"/>
        </w:rPr>
        <w:t>Figure 4. Per-class true-positive and false-positive counts after greedy IoU 0.5 matching.</w:t>
      </w:r>
    </w:p>
    <w:p>
      <w:pPr>
        <w:spacing w:after="80" w:line="288" w:lineRule="auto"/>
      </w:pPr>
      <w:r>
        <w:rPr>
          <w:rFonts w:ascii="Times New Roman" w:hAnsi="Times New Roman" w:cs="Times New Roman"/>
          <w:b w:val="0"/>
          <w:i w:val="0"/>
          <w:sz w:val="22"/>
        </w:rPr>
        <w:t xml:space="preserve">The low book recall (6.8%) reflects a known limitation of the YOLOv8-s checkpoint used out-of-the-box on the COCO definition of </w:t>
      </w:r>
      <w:r>
        <w:rPr>
          <w:rFonts w:ascii="Times New Roman" w:hAnsi="Times New Roman" w:cs="Times New Roman"/>
          <w:b w:val="0"/>
          <w:i/>
          <w:sz w:val="22"/>
        </w:rPr>
        <w:t>book</w:t>
      </w:r>
      <w:r>
        <w:rPr>
          <w:rFonts w:ascii="Times New Roman" w:hAnsi="Times New Roman" w:cs="Times New Roman"/>
          <w:b w:val="0"/>
          <w:i w:val="0"/>
          <w:sz w:val="22"/>
        </w:rPr>
        <w:t xml:space="preserve"> (which often labels small, partially-occluded book spines or distant shelf clutter). </w:t>
      </w:r>
      <w:r>
        <w:rPr>
          <w:rFonts w:ascii="Times New Roman" w:hAnsi="Times New Roman" w:cs="Times New Roman"/>
          <w:b w:val="0"/>
          <w:i/>
          <w:sz w:val="22"/>
        </w:rPr>
        <w:t>Cell phone</w:t>
      </w:r>
      <w:r>
        <w:rPr>
          <w:rFonts w:ascii="Times New Roman" w:hAnsi="Times New Roman" w:cs="Times New Roman"/>
          <w:b w:val="0"/>
          <w:i w:val="0"/>
          <w:sz w:val="22"/>
        </w:rPr>
        <w:t xml:space="preserve"> recall (32.4%) reflects similar difficulty when the phone is held below desk level or partially occluded by a hand. Three mitigations are available to deployers and are recommended in our protocol: (i) fine-tune the visual checkpoint on a small in-domain set of proctoring scenes (an evening of annotation work, well within the budget of a single institution); (ii) raise the confidence threshold and rely on the </w:t>
      </w:r>
      <w:r>
        <w:rPr>
          <w:rFonts w:ascii="Times New Roman" w:hAnsi="Times New Roman" w:cs="Times New Roman"/>
          <w:b w:val="0"/>
          <w:i/>
          <w:sz w:val="22"/>
        </w:rPr>
        <w:t>fusion model</w:t>
      </w:r>
      <w:r>
        <w:rPr>
          <w:rFonts w:ascii="Times New Roman" w:hAnsi="Times New Roman" w:cs="Times New Roman"/>
          <w:b w:val="0"/>
          <w:i w:val="0"/>
          <w:sz w:val="22"/>
        </w:rPr>
        <w:t xml:space="preserve"> to compensate — the leave-one-modality-out ablation in Section 6.4 shows that the random-forest fusion recovers F1 ≈ 0.90 even when YOLOv8 is degraded; and (iii) combine the visual subsystem with the behavioural module so that sustained downward gaze + low YOLOv8 phone confidence is also flagged as a candidate device-use event. The relevant operational decision for institutions is not whether YOLOv8-s alone is sufficient (it is not) but whether the fused pipeline is — and the answer in our evaluation is yes.</w:t>
      </w:r>
    </w:p>
    <w:p>
      <w:pPr>
        <w:spacing w:before="160" w:after="80"/>
      </w:pPr>
      <w:r>
        <w:rPr>
          <w:rFonts w:ascii="Times New Roman" w:hAnsi="Times New Roman" w:cs="Times New Roman"/>
          <w:b/>
          <w:i w:val="0"/>
          <w:sz w:val="24"/>
        </w:rPr>
        <w:t>6.2 Acoustic Subsystem (D2)</w:t>
      </w:r>
    </w:p>
    <w:p>
      <w:pPr>
        <w:spacing w:after="80" w:line="288" w:lineRule="auto"/>
      </w:pPr>
      <w:r>
        <w:rPr>
          <w:rFonts w:ascii="Times New Roman" w:hAnsi="Times New Roman" w:cs="Times New Roman"/>
          <w:b w:val="0"/>
          <w:i w:val="0"/>
          <w:sz w:val="22"/>
        </w:rPr>
        <w:t>Table 3 reports the three acoustic anomaly probabilities on the 400-clip benchmark. Figure 4 (`fig_acoustic_roc_pr.png`) shows the ROC and PR curves; Figure 5 (`fig_acoustic_per_class.png`) the per-class score distribution.</w:t>
      </w:r>
    </w:p>
    <w:p>
      <w:pPr>
        <w:spacing w:after="80" w:line="288" w:lineRule="auto"/>
      </w:pPr>
      <w:r>
        <w:rPr>
          <w:rFonts w:ascii="Times New Roman" w:hAnsi="Times New Roman" w:cs="Times New Roman"/>
          <w:b/>
          <w:i w:val="0"/>
          <w:sz w:val="22"/>
        </w:rPr>
        <w:t>Table 3. Whisper-Base in content-free mode on the LibriSpeech-derived acoustic benchmark (400 clips, real read speech).</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Pr>
          <w:p>
            <w:r/>
            <w:r>
              <w:rPr>
                <w:rFonts w:ascii="Times New Roman" w:hAnsi="Times New Roman" w:cs="Times New Roman"/>
                <w:b/>
                <w:i w:val="0"/>
                <w:sz w:val="20"/>
              </w:rPr>
              <w:t>Signal</w:t>
            </w:r>
          </w:p>
        </w:tc>
        <w:tc>
          <w:tcPr>
            <w:tcW w:type="dxa" w:w="1994"/>
            <w:vAlign w:val="center"/>
          </w:tcPr>
          <w:p>
            <w:r/>
            <w:r>
              <w:rPr>
                <w:rFonts w:ascii="Times New Roman" w:hAnsi="Times New Roman" w:cs="Times New Roman"/>
                <w:b/>
                <w:i w:val="0"/>
                <w:sz w:val="20"/>
              </w:rPr>
              <w:t>ROC AUC</w:t>
            </w:r>
          </w:p>
        </w:tc>
        <w:tc>
          <w:tcPr>
            <w:tcW w:type="dxa" w:w="1994"/>
            <w:vAlign w:val="center"/>
          </w:tcPr>
          <w:p>
            <w:r/>
            <w:r>
              <w:rPr>
                <w:rFonts w:ascii="Times New Roman" w:hAnsi="Times New Roman" w:cs="Times New Roman"/>
                <w:b/>
                <w:i w:val="0"/>
                <w:sz w:val="20"/>
              </w:rPr>
              <w:t>PR AUC</w:t>
            </w:r>
          </w:p>
        </w:tc>
        <w:tc>
          <w:tcPr>
            <w:tcW w:type="dxa" w:w="1994"/>
            <w:vAlign w:val="center"/>
          </w:tcPr>
          <w:p>
            <w:r/>
            <w:r>
              <w:rPr>
                <w:rFonts w:ascii="Times New Roman" w:hAnsi="Times New Roman" w:cs="Times New Roman"/>
                <w:b/>
                <w:i w:val="0"/>
                <w:sz w:val="20"/>
              </w:rPr>
              <w:t>F1 @ best threshold</w:t>
            </w:r>
          </w:p>
        </w:tc>
        <w:tc>
          <w:tcPr>
            <w:tcW w:type="dxa" w:w="1994"/>
            <w:vAlign w:val="center"/>
          </w:tcPr>
          <w:p>
            <w:r/>
            <w:r>
              <w:rPr>
                <w:rFonts w:ascii="Times New Roman" w:hAnsi="Times New Roman" w:cs="Times New Roman"/>
                <w:b/>
                <w:i w:val="0"/>
                <w:sz w:val="20"/>
              </w:rPr>
              <w:t>Best threshold</w:t>
            </w:r>
          </w:p>
        </w:tc>
      </w:tr>
      <w:tr>
        <w:tc>
          <w:tcPr>
            <w:tcW w:type="dxa" w:w="1994"/>
            <w:vAlign w:val="center"/>
          </w:tcPr>
          <w:p>
            <w:r/>
            <w:r>
              <w:rPr>
                <w:rFonts w:ascii="Times New Roman" w:hAnsi="Times New Roman" w:cs="Times New Roman"/>
                <w:b w:val="0"/>
                <w:i w:val="0"/>
                <w:sz w:val="20"/>
              </w:rPr>
              <w:t>Secondary-speaker probability</w:t>
            </w:r>
          </w:p>
        </w:tc>
        <w:tc>
          <w:tcPr>
            <w:tcW w:type="dxa" w:w="1994"/>
            <w:vAlign w:val="center"/>
          </w:tcPr>
          <w:p>
            <w:r/>
            <w:r>
              <w:rPr>
                <w:rFonts w:ascii="Times New Roman" w:hAnsi="Times New Roman" w:cs="Times New Roman"/>
                <w:b w:val="0"/>
                <w:i w:val="0"/>
                <w:sz w:val="20"/>
              </w:rPr>
              <w:t>0.774</w:t>
            </w:r>
          </w:p>
        </w:tc>
        <w:tc>
          <w:tcPr>
            <w:tcW w:type="dxa" w:w="1994"/>
            <w:vAlign w:val="center"/>
          </w:tcPr>
          <w:p>
            <w:r/>
            <w:r>
              <w:rPr>
                <w:rFonts w:ascii="Times New Roman" w:hAnsi="Times New Roman" w:cs="Times New Roman"/>
                <w:b w:val="0"/>
                <w:i w:val="0"/>
                <w:sz w:val="20"/>
              </w:rPr>
              <w:t>0.600</w:t>
            </w:r>
          </w:p>
        </w:tc>
        <w:tc>
          <w:tcPr>
            <w:tcW w:type="dxa" w:w="1994"/>
            <w:vAlign w:val="center"/>
          </w:tcPr>
          <w:p>
            <w:r/>
            <w:r>
              <w:rPr>
                <w:rFonts w:ascii="Times New Roman" w:hAnsi="Times New Roman" w:cs="Times New Roman"/>
                <w:b w:val="0"/>
                <w:i w:val="0"/>
                <w:sz w:val="20"/>
              </w:rPr>
              <w:t>0.779</w:t>
            </w:r>
          </w:p>
        </w:tc>
        <w:tc>
          <w:tcPr>
            <w:tcW w:type="dxa" w:w="1994"/>
            <w:vAlign w:val="center"/>
          </w:tcPr>
          <w:p>
            <w:r/>
            <w:r>
              <w:rPr>
                <w:rFonts w:ascii="Times New Roman" w:hAnsi="Times New Roman" w:cs="Times New Roman"/>
                <w:b w:val="0"/>
                <w:i w:val="0"/>
                <w:sz w:val="20"/>
              </w:rPr>
              <w:t>0.017</w:t>
            </w:r>
          </w:p>
        </w:tc>
      </w:tr>
      <w:tr>
        <w:tc>
          <w:tcPr>
            <w:tcW w:type="dxa" w:w="1994"/>
            <w:vAlign w:val="center"/>
          </w:tcPr>
          <w:p>
            <w:r/>
            <w:r>
              <w:rPr>
                <w:rFonts w:ascii="Times New Roman" w:hAnsi="Times New Roman" w:cs="Times New Roman"/>
                <w:b w:val="0"/>
                <w:i w:val="0"/>
                <w:sz w:val="20"/>
              </w:rPr>
              <w:t>Overlap probability</w:t>
            </w:r>
          </w:p>
        </w:tc>
        <w:tc>
          <w:tcPr>
            <w:tcW w:type="dxa" w:w="1994"/>
            <w:vAlign w:val="center"/>
          </w:tcPr>
          <w:p>
            <w:r/>
            <w:r>
              <w:rPr>
                <w:rFonts w:ascii="Times New Roman" w:hAnsi="Times New Roman" w:cs="Times New Roman"/>
                <w:b w:val="0"/>
                <w:i w:val="0"/>
                <w:sz w:val="20"/>
              </w:rPr>
              <w:t>0.771</w:t>
            </w:r>
          </w:p>
        </w:tc>
        <w:tc>
          <w:tcPr>
            <w:tcW w:type="dxa" w:w="1994"/>
            <w:vAlign w:val="center"/>
          </w:tcPr>
          <w:p>
            <w:r/>
            <w:r>
              <w:rPr>
                <w:rFonts w:ascii="Times New Roman" w:hAnsi="Times New Roman" w:cs="Times New Roman"/>
                <w:b w:val="0"/>
                <w:i w:val="0"/>
                <w:sz w:val="20"/>
              </w:rPr>
              <w:t>0.601</w:t>
            </w:r>
          </w:p>
        </w:tc>
        <w:tc>
          <w:tcPr>
            <w:tcW w:type="dxa" w:w="1994"/>
            <w:vAlign w:val="center"/>
          </w:tcPr>
          <w:p>
            <w:r/>
            <w:r>
              <w:rPr>
                <w:rFonts w:ascii="Times New Roman" w:hAnsi="Times New Roman" w:cs="Times New Roman"/>
                <w:b w:val="0"/>
                <w:i w:val="0"/>
                <w:sz w:val="20"/>
              </w:rPr>
              <w:t>0.770</w:t>
            </w:r>
          </w:p>
        </w:tc>
        <w:tc>
          <w:tcPr>
            <w:tcW w:type="dxa" w:w="1994"/>
            <w:vAlign w:val="center"/>
          </w:tcPr>
          <w:p>
            <w:r/>
            <w:r>
              <w:rPr>
                <w:rFonts w:ascii="Times New Roman" w:hAnsi="Times New Roman" w:cs="Times New Roman"/>
                <w:b w:val="0"/>
                <w:i w:val="0"/>
                <w:sz w:val="20"/>
              </w:rPr>
              <w:t>0.004</w:t>
            </w:r>
          </w:p>
        </w:tc>
      </w:tr>
      <w:tr>
        <w:tc>
          <w:tcPr>
            <w:tcW w:type="dxa" w:w="1994"/>
            <w:vAlign w:val="center"/>
          </w:tcPr>
          <w:p>
            <w:r/>
            <w:r>
              <w:rPr>
                <w:rFonts w:ascii="Times New Roman" w:hAnsi="Times New Roman" w:cs="Times New Roman"/>
                <w:b w:val="0"/>
                <w:i w:val="0"/>
                <w:sz w:val="20"/>
              </w:rPr>
              <w:t>Whisper probability</w:t>
            </w:r>
          </w:p>
        </w:tc>
        <w:tc>
          <w:tcPr>
            <w:tcW w:type="dxa" w:w="1994"/>
            <w:vAlign w:val="center"/>
          </w:tcPr>
          <w:p>
            <w:r/>
            <w:r>
              <w:rPr>
                <w:rFonts w:ascii="Times New Roman" w:hAnsi="Times New Roman" w:cs="Times New Roman"/>
                <w:b w:val="0"/>
                <w:i w:val="0"/>
                <w:sz w:val="20"/>
              </w:rPr>
              <w:t>0.935</w:t>
            </w:r>
          </w:p>
        </w:tc>
        <w:tc>
          <w:tcPr>
            <w:tcW w:type="dxa" w:w="1994"/>
            <w:vAlign w:val="center"/>
          </w:tcPr>
          <w:p>
            <w:r/>
            <w:r>
              <w:rPr>
                <w:rFonts w:ascii="Times New Roman" w:hAnsi="Times New Roman" w:cs="Times New Roman"/>
                <w:b w:val="0"/>
                <w:i w:val="0"/>
                <w:sz w:val="20"/>
              </w:rPr>
              <w:t>0.910</w:t>
            </w:r>
          </w:p>
        </w:tc>
        <w:tc>
          <w:tcPr>
            <w:tcW w:type="dxa" w:w="1994"/>
            <w:vAlign w:val="center"/>
          </w:tcPr>
          <w:p>
            <w:r/>
            <w:r>
              <w:rPr>
                <w:rFonts w:ascii="Times New Roman" w:hAnsi="Times New Roman" w:cs="Times New Roman"/>
                <w:b w:val="0"/>
                <w:i w:val="0"/>
                <w:sz w:val="20"/>
              </w:rPr>
              <w:t>0.832</w:t>
            </w:r>
          </w:p>
        </w:tc>
        <w:tc>
          <w:tcPr>
            <w:tcW w:type="dxa" w:w="1994"/>
            <w:vAlign w:val="center"/>
          </w:tcPr>
          <w:p>
            <w:r/>
            <w:r>
              <w:rPr>
                <w:rFonts w:ascii="Times New Roman" w:hAnsi="Times New Roman" w:cs="Times New Roman"/>
                <w:b w:val="0"/>
                <w:i w:val="0"/>
                <w:sz w:val="20"/>
              </w:rPr>
              <w:t>0.010</w:t>
            </w:r>
          </w:p>
        </w:tc>
      </w:tr>
    </w:tbl>
    <w:p>
      <w:pPr>
        <w:spacing w:after="160"/>
      </w:pPr>
    </w:p>
    <w:p>
      <w:pPr>
        <w:spacing w:after="80" w:line="288" w:lineRule="auto"/>
      </w:pPr>
      <w:r>
        <w:rPr>
          <w:rFonts w:ascii="Times New Roman" w:hAnsi="Times New Roman" w:cs="Times New Roman"/>
          <w:b w:val="0"/>
          <w:i w:val="0"/>
          <w:sz w:val="22"/>
        </w:rPr>
        <w:t>Mean per-buffer inference latency is 83.6 ms (5-second buffer ⇒ ≈ 60× real-time on the M4 Max CPU). The per-class mean secondary-speaker probability is 0.01 for silence/background-noise, 0.13 for single-speaker, but rises to 0.20 for two-speakers and 0.30 for whispered speech, confirming the discriminative power of the pitch+centroid fluctuation features on real read English speech. The drop in AUC from a fully-synthetic baseline (0.88) to a LibriSpeech baseline (0.77) reflects the natural variability of pitch and formants in real speech and constitutes a more realistic estimate of operational performance.</w:t>
      </w:r>
    </w:p>
    <w:p>
      <w:pPr>
        <w:jc w:val="center"/>
      </w:pPr>
      <w:r>
        <w:drawing>
          <wp:inline xmlns:a="http://schemas.openxmlformats.org/drawingml/2006/main" xmlns:pic="http://schemas.openxmlformats.org/drawingml/2006/picture">
            <wp:extent cx="5486400" cy="2244436"/>
            <wp:docPr id="5" name="Picture 5"/>
            <wp:cNvGraphicFramePr>
              <a:graphicFrameLocks noChangeAspect="1"/>
            </wp:cNvGraphicFramePr>
            <a:graphic>
              <a:graphicData uri="http://schemas.openxmlformats.org/drawingml/2006/picture">
                <pic:pic>
                  <pic:nvPicPr>
                    <pic:cNvPr id="0" name="fig_acoustic_roc_pr.png"/>
                    <pic:cNvPicPr/>
                  </pic:nvPicPr>
                  <pic:blipFill>
                    <a:blip r:embed="rId13"/>
                    <a:stretch>
                      <a:fillRect/>
                    </a:stretch>
                  </pic:blipFill>
                  <pic:spPr>
                    <a:xfrm>
                      <a:off x="0" y="0"/>
                      <a:ext cx="5486400" cy="2244436"/>
                    </a:xfrm>
                    <a:prstGeom prst="rect"/>
                  </pic:spPr>
                </pic:pic>
              </a:graphicData>
            </a:graphic>
          </wp:inline>
        </w:drawing>
      </w:r>
    </w:p>
    <w:p>
      <w:pPr>
        <w:spacing w:after="200"/>
        <w:jc w:val="center"/>
      </w:pPr>
      <w:r>
        <w:rPr>
          <w:rFonts w:ascii="Times New Roman" w:hAnsi="Times New Roman" w:cs="Times New Roman"/>
          <w:b w:val="0"/>
          <w:i/>
          <w:sz w:val="18"/>
        </w:rPr>
        <w:t>Figure 5. ROC and PR curves for the Whisper-Base content-free acoustic module on the LibriSpeech-derived benchmark.</w:t>
      </w:r>
    </w:p>
    <w:p>
      <w:pPr>
        <w:jc w:val="center"/>
      </w:pPr>
      <w:r>
        <w:drawing>
          <wp:inline xmlns:a="http://schemas.openxmlformats.org/drawingml/2006/main" xmlns:pic="http://schemas.openxmlformats.org/drawingml/2006/picture">
            <wp:extent cx="5486400" cy="3072384"/>
            <wp:docPr id="6" name="Picture 6"/>
            <wp:cNvGraphicFramePr>
              <a:graphicFrameLocks noChangeAspect="1"/>
            </wp:cNvGraphicFramePr>
            <a:graphic>
              <a:graphicData uri="http://schemas.openxmlformats.org/drawingml/2006/picture">
                <pic:pic>
                  <pic:nvPicPr>
                    <pic:cNvPr id="0" name="fig_acoustic_per_class.png"/>
                    <pic:cNvPicPr/>
                  </pic:nvPicPr>
                  <pic:blipFill>
                    <a:blip r:embed="rId14"/>
                    <a:stretch>
                      <a:fillRect/>
                    </a:stretch>
                  </pic:blipFill>
                  <pic:spPr>
                    <a:xfrm>
                      <a:off x="0" y="0"/>
                      <a:ext cx="5486400" cy="3072384"/>
                    </a:xfrm>
                    <a:prstGeom prst="rect"/>
                  </pic:spPr>
                </pic:pic>
              </a:graphicData>
            </a:graphic>
          </wp:inline>
        </w:drawing>
      </w:r>
    </w:p>
    <w:p>
      <w:pPr>
        <w:spacing w:after="200"/>
        <w:jc w:val="center"/>
      </w:pPr>
      <w:r>
        <w:rPr>
          <w:rFonts w:ascii="Times New Roman" w:hAnsi="Times New Roman" w:cs="Times New Roman"/>
          <w:b w:val="0"/>
          <w:i/>
          <w:sz w:val="18"/>
        </w:rPr>
        <w:t>Figure 6. Per-class distribution of the secondary-speaker probability on the 400-clip acoustic benchmark.</w:t>
      </w:r>
    </w:p>
    <w:p>
      <w:pPr>
        <w:spacing w:before="160" w:after="80"/>
      </w:pPr>
      <w:r>
        <w:rPr>
          <w:rFonts w:ascii="Times New Roman" w:hAnsi="Times New Roman" w:cs="Times New Roman"/>
          <w:b/>
          <w:i w:val="0"/>
          <w:sz w:val="24"/>
        </w:rPr>
        <w:t>6.3 Behavioural Cues (D3)</w:t>
      </w:r>
    </w:p>
    <w:p>
      <w:pPr>
        <w:spacing w:after="80" w:line="288" w:lineRule="auto"/>
      </w:pPr>
      <w:r>
        <w:rPr>
          <w:rFonts w:ascii="Times New Roman" w:hAnsi="Times New Roman" w:cs="Times New Roman"/>
          <w:b w:val="0"/>
          <w:i w:val="0"/>
          <w:sz w:val="22"/>
        </w:rPr>
        <w:t>Table 4 reports the off-screen and lip-movement detection performance. Figure 6 (`fig_behaviour_distributions.png`) shows the per-scenario distribution of the geometric descriptors.</w:t>
      </w:r>
    </w:p>
    <w:p>
      <w:pPr>
        <w:spacing w:after="80" w:line="288" w:lineRule="auto"/>
      </w:pPr>
      <w:r>
        <w:rPr>
          <w:rFonts w:ascii="Times New Roman" w:hAnsi="Times New Roman" w:cs="Times New Roman"/>
          <w:b/>
          <w:i w:val="0"/>
          <w:sz w:val="22"/>
        </w:rPr>
        <w:t>Table 4. MediaPipe FaceMesh behavioural cues on 400 trajectories generated from 10 real CC-BY face anchors (Pexels portraits, programmatic head/lip motion applied to real MediaPipe landmarks).</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Pr>
          <w:p>
            <w:r/>
            <w:r>
              <w:rPr>
                <w:rFonts w:ascii="Times New Roman" w:hAnsi="Times New Roman" w:cs="Times New Roman"/>
                <w:b/>
                <w:i w:val="0"/>
                <w:sz w:val="20"/>
              </w:rPr>
              <w:t>Task</w:t>
            </w:r>
          </w:p>
        </w:tc>
        <w:tc>
          <w:tcPr>
            <w:tcW w:type="dxa" w:w="1994"/>
            <w:vAlign w:val="center"/>
          </w:tcPr>
          <w:p>
            <w:r/>
            <w:r>
              <w:rPr>
                <w:rFonts w:ascii="Times New Roman" w:hAnsi="Times New Roman" w:cs="Times New Roman"/>
                <w:b/>
                <w:i w:val="0"/>
                <w:sz w:val="20"/>
              </w:rPr>
              <w:t>ROC AUC</w:t>
            </w:r>
          </w:p>
        </w:tc>
        <w:tc>
          <w:tcPr>
            <w:tcW w:type="dxa" w:w="1994"/>
            <w:vAlign w:val="center"/>
          </w:tcPr>
          <w:p>
            <w:r/>
            <w:r>
              <w:rPr>
                <w:rFonts w:ascii="Times New Roman" w:hAnsi="Times New Roman" w:cs="Times New Roman"/>
                <w:b/>
                <w:i w:val="0"/>
                <w:sz w:val="20"/>
              </w:rPr>
              <w:t>PR AUC</w:t>
            </w:r>
          </w:p>
        </w:tc>
        <w:tc>
          <w:tcPr>
            <w:tcW w:type="dxa" w:w="1994"/>
            <w:vAlign w:val="center"/>
          </w:tcPr>
          <w:p>
            <w:r/>
            <w:r>
              <w:rPr>
                <w:rFonts w:ascii="Times New Roman" w:hAnsi="Times New Roman" w:cs="Times New Roman"/>
                <w:b/>
                <w:i w:val="0"/>
                <w:sz w:val="20"/>
              </w:rPr>
              <w:t>F1 @ best threshold</w:t>
            </w:r>
          </w:p>
        </w:tc>
        <w:tc>
          <w:tcPr>
            <w:tcW w:type="dxa" w:w="1994"/>
            <w:vAlign w:val="center"/>
          </w:tcPr>
          <w:p>
            <w:r/>
            <w:r>
              <w:rPr>
                <w:rFonts w:ascii="Times New Roman" w:hAnsi="Times New Roman" w:cs="Times New Roman"/>
                <w:b/>
                <w:i w:val="0"/>
                <w:sz w:val="20"/>
              </w:rPr>
              <w:t>Best threshold</w:t>
            </w:r>
          </w:p>
        </w:tc>
      </w:tr>
      <w:tr>
        <w:tc>
          <w:tcPr>
            <w:tcW w:type="dxa" w:w="1994"/>
            <w:vAlign w:val="center"/>
          </w:tcPr>
          <w:p>
            <w:r/>
            <w:r>
              <w:rPr>
                <w:rFonts w:ascii="Times New Roman" w:hAnsi="Times New Roman" w:cs="Times New Roman"/>
                <w:b w:val="0"/>
                <w:i w:val="0"/>
                <w:sz w:val="20"/>
              </w:rPr>
              <w:t>Sustained off-screen gaze</w:t>
            </w:r>
          </w:p>
        </w:tc>
        <w:tc>
          <w:tcPr>
            <w:tcW w:type="dxa" w:w="1994"/>
            <w:vAlign w:val="center"/>
          </w:tcPr>
          <w:p>
            <w:r/>
            <w:r>
              <w:rPr>
                <w:rFonts w:ascii="Times New Roman" w:hAnsi="Times New Roman" w:cs="Times New Roman"/>
                <w:b w:val="0"/>
                <w:i w:val="0"/>
                <w:sz w:val="20"/>
              </w:rPr>
              <w:t>0.938</w:t>
            </w:r>
          </w:p>
        </w:tc>
        <w:tc>
          <w:tcPr>
            <w:tcW w:type="dxa" w:w="1994"/>
            <w:vAlign w:val="center"/>
          </w:tcPr>
          <w:p>
            <w:r/>
            <w:r>
              <w:rPr>
                <w:rFonts w:ascii="Times New Roman" w:hAnsi="Times New Roman" w:cs="Times New Roman"/>
                <w:b w:val="0"/>
                <w:i w:val="0"/>
                <w:sz w:val="20"/>
              </w:rPr>
              <w:t>0.886</w:t>
            </w:r>
          </w:p>
        </w:tc>
        <w:tc>
          <w:tcPr>
            <w:tcW w:type="dxa" w:w="1994"/>
            <w:vAlign w:val="center"/>
          </w:tcPr>
          <w:p>
            <w:r/>
            <w:r>
              <w:rPr>
                <w:rFonts w:ascii="Times New Roman" w:hAnsi="Times New Roman" w:cs="Times New Roman"/>
                <w:b w:val="0"/>
                <w:i w:val="0"/>
                <w:sz w:val="20"/>
              </w:rPr>
              <w:t>0.873</w:t>
            </w:r>
          </w:p>
        </w:tc>
        <w:tc>
          <w:tcPr>
            <w:tcW w:type="dxa" w:w="1994"/>
            <w:vAlign w:val="center"/>
          </w:tcPr>
          <w:p>
            <w:r/>
            <w:r>
              <w:rPr>
                <w:rFonts w:ascii="Times New Roman" w:hAnsi="Times New Roman" w:cs="Times New Roman"/>
                <w:b w:val="0"/>
                <w:i w:val="0"/>
                <w:sz w:val="20"/>
              </w:rPr>
              <w:t>32.2° (combined)</w:t>
            </w:r>
          </w:p>
        </w:tc>
      </w:tr>
      <w:tr>
        <w:tc>
          <w:tcPr>
            <w:tcW w:type="dxa" w:w="1994"/>
            <w:vAlign w:val="center"/>
          </w:tcPr>
          <w:p>
            <w:r/>
            <w:r>
              <w:rPr>
                <w:rFonts w:ascii="Times New Roman" w:hAnsi="Times New Roman" w:cs="Times New Roman"/>
                <w:b w:val="0"/>
                <w:i w:val="0"/>
                <w:sz w:val="20"/>
              </w:rPr>
              <w:t>Lip movement without keyboard</w:t>
            </w:r>
          </w:p>
        </w:tc>
        <w:tc>
          <w:tcPr>
            <w:tcW w:type="dxa" w:w="1994"/>
            <w:vAlign w:val="center"/>
          </w:tcPr>
          <w:p>
            <w:r/>
            <w:r>
              <w:rPr>
                <w:rFonts w:ascii="Times New Roman" w:hAnsi="Times New Roman" w:cs="Times New Roman"/>
                <w:b w:val="0"/>
                <w:i w:val="0"/>
                <w:sz w:val="20"/>
              </w:rPr>
              <w:t>0.663</w:t>
            </w:r>
          </w:p>
        </w:tc>
        <w:tc>
          <w:tcPr>
            <w:tcW w:type="dxa" w:w="1994"/>
            <w:vAlign w:val="center"/>
          </w:tcPr>
          <w:p>
            <w:r/>
            <w:r>
              <w:rPr>
                <w:rFonts w:ascii="Times New Roman" w:hAnsi="Times New Roman" w:cs="Times New Roman"/>
                <w:b w:val="0"/>
                <w:i w:val="0"/>
                <w:sz w:val="20"/>
              </w:rPr>
              <w:t>0.314</w:t>
            </w:r>
          </w:p>
        </w:tc>
        <w:tc>
          <w:tcPr>
            <w:tcW w:type="dxa" w:w="1994"/>
            <w:vAlign w:val="center"/>
          </w:tcPr>
          <w:p>
            <w:r/>
            <w:r>
              <w:rPr>
                <w:rFonts w:ascii="Times New Roman" w:hAnsi="Times New Roman" w:cs="Times New Roman"/>
                <w:b w:val="0"/>
                <w:i w:val="0"/>
                <w:sz w:val="20"/>
              </w:rPr>
              <w:t>0.393</w:t>
            </w:r>
          </w:p>
        </w:tc>
        <w:tc>
          <w:tcPr>
            <w:tcW w:type="dxa" w:w="1994"/>
            <w:vAlign w:val="center"/>
          </w:tcPr>
          <w:p>
            <w:r/>
            <w:r>
              <w:rPr>
                <w:rFonts w:ascii="Times New Roman" w:hAnsi="Times New Roman" w:cs="Times New Roman"/>
                <w:b w:val="0"/>
                <w:i w:val="0"/>
                <w:sz w:val="20"/>
              </w:rPr>
              <w:t>10.1 (variance scale)</w:t>
            </w:r>
          </w:p>
        </w:tc>
      </w:tr>
    </w:tbl>
    <w:p>
      <w:pPr>
        <w:spacing w:after="160"/>
      </w:pPr>
    </w:p>
    <w:p>
      <w:pPr>
        <w:spacing w:after="80" w:line="288" w:lineRule="auto"/>
      </w:pPr>
      <w:r>
        <w:rPr>
          <w:rFonts w:ascii="Times New Roman" w:hAnsi="Times New Roman" w:cs="Times New Roman"/>
          <w:b w:val="0"/>
          <w:i w:val="0"/>
          <w:sz w:val="22"/>
        </w:rPr>
        <w:t>Off-screen gaze is detected reliably (AUC ≈ 0.94 on real-face anchors); lip-movement is intrinsically harder on real landmarks because the upper- and lower-lip Y-coordinates encode multiple confounding factors (mouth open/closed, smile, jaw drop), which is consistent with prior work on lip-reading without explicit phoneme labels [23]. In the deployed system, the weak lip-movement signal is compensated for by the fusion model (Section 6.4) and by gaze-deviation cross-checks.</w:t>
      </w:r>
    </w:p>
    <w:p>
      <w:pPr>
        <w:jc w:val="center"/>
      </w:pPr>
      <w:r>
        <w:drawing>
          <wp:inline xmlns:a="http://schemas.openxmlformats.org/drawingml/2006/main" xmlns:pic="http://schemas.openxmlformats.org/drawingml/2006/picture">
            <wp:extent cx="5486400" cy="2244436"/>
            <wp:docPr id="7" name="Picture 7"/>
            <wp:cNvGraphicFramePr>
              <a:graphicFrameLocks noChangeAspect="1"/>
            </wp:cNvGraphicFramePr>
            <a:graphic>
              <a:graphicData uri="http://schemas.openxmlformats.org/drawingml/2006/picture">
                <pic:pic>
                  <pic:nvPicPr>
                    <pic:cNvPr id="0" name="fig_behaviour_distributions.png"/>
                    <pic:cNvPicPr/>
                  </pic:nvPicPr>
                  <pic:blipFill>
                    <a:blip r:embed="rId15"/>
                    <a:stretch>
                      <a:fillRect/>
                    </a:stretch>
                  </pic:blipFill>
                  <pic:spPr>
                    <a:xfrm>
                      <a:off x="0" y="0"/>
                      <a:ext cx="5486400" cy="2244436"/>
                    </a:xfrm>
                    <a:prstGeom prst="rect"/>
                  </pic:spPr>
                </pic:pic>
              </a:graphicData>
            </a:graphic>
          </wp:inline>
        </w:drawing>
      </w:r>
    </w:p>
    <w:p>
      <w:pPr>
        <w:spacing w:after="200"/>
        <w:jc w:val="center"/>
      </w:pPr>
      <w:r>
        <w:rPr>
          <w:rFonts w:ascii="Times New Roman" w:hAnsi="Times New Roman" w:cs="Times New Roman"/>
          <w:b w:val="0"/>
          <w:i/>
          <w:sz w:val="18"/>
        </w:rPr>
        <w:t>Figure 7. Per-scenario distribution of the geometric descriptors (yaw amplitude and lip variance) computed from MediaPipe FaceMesh landmarks of real Pexels face anchors.</w:t>
      </w:r>
    </w:p>
    <w:p>
      <w:pPr>
        <w:spacing w:before="160" w:after="80"/>
      </w:pPr>
      <w:r>
        <w:rPr>
          <w:rFonts w:ascii="Times New Roman" w:hAnsi="Times New Roman" w:cs="Times New Roman"/>
          <w:b/>
          <w:i w:val="0"/>
          <w:sz w:val="24"/>
        </w:rPr>
        <w:t>6.4 Fusion Model Comparison and Ablation (D4)</w:t>
      </w:r>
    </w:p>
    <w:p>
      <w:pPr>
        <w:spacing w:after="80" w:line="288" w:lineRule="auto"/>
      </w:pPr>
      <w:r>
        <w:rPr>
          <w:rFonts w:ascii="Times New Roman" w:hAnsi="Times New Roman" w:cs="Times New Roman"/>
          <w:b w:val="0"/>
          <w:i w:val="0"/>
          <w:sz w:val="22"/>
        </w:rPr>
        <w:t>Table 5 reports stratified 5-fold cross-validation results for the five fusion strategies on the 400 simulated session scenarios. Figure 7 (`fig_fusion_comparison.png`) shows bars with standard deviations; Figure 8 (`fig_fusion_roc.png`) plots ROC curves; Figure 9 (`fig_fusion_confusion.png`) gives the confusion matrix of the best model.</w:t>
      </w:r>
    </w:p>
    <w:p>
      <w:pPr>
        <w:spacing w:after="80" w:line="288" w:lineRule="auto"/>
      </w:pPr>
      <w:r>
        <w:rPr>
          <w:rFonts w:ascii="Times New Roman" w:hAnsi="Times New Roman" w:cs="Times New Roman"/>
          <w:b/>
          <w:i w:val="0"/>
          <w:sz w:val="22"/>
        </w:rPr>
        <w:t>Table 5. Fusion strategy comparison (5-fold stratified CV on 300 real-feature sessions). Each session's features are real outputs of YOLOv8-s on a COCO image, Whisper-Base on a LibriSpeech mix, and MediaPipe FaceMesh on a Pexels face anchor.</w:t>
      </w:r>
    </w:p>
    <w:tbl>
      <w:tblPr>
        <w:tblStyle w:val="LightGrid-Accent1"/>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tcPr>
          <w:p>
            <w:r/>
            <w:r>
              <w:rPr>
                <w:rFonts w:ascii="Times New Roman" w:hAnsi="Times New Roman" w:cs="Times New Roman"/>
                <w:b/>
                <w:i w:val="0"/>
                <w:sz w:val="20"/>
              </w:rPr>
              <w:t>Model</w:t>
            </w:r>
          </w:p>
        </w:tc>
        <w:tc>
          <w:tcPr>
            <w:tcW w:type="dxa" w:w="1425"/>
            <w:vAlign w:val="center"/>
          </w:tcPr>
          <w:p>
            <w:r/>
            <w:r>
              <w:rPr>
                <w:rFonts w:ascii="Times New Roman" w:hAnsi="Times New Roman" w:cs="Times New Roman"/>
                <w:b/>
                <w:i w:val="0"/>
                <w:sz w:val="20"/>
              </w:rPr>
              <w:t>F1</w:t>
            </w:r>
          </w:p>
        </w:tc>
        <w:tc>
          <w:tcPr>
            <w:tcW w:type="dxa" w:w="1425"/>
            <w:vAlign w:val="center"/>
          </w:tcPr>
          <w:p>
            <w:r/>
            <w:r>
              <w:rPr>
                <w:rFonts w:ascii="Times New Roman" w:hAnsi="Times New Roman" w:cs="Times New Roman"/>
                <w:b/>
                <w:i w:val="0"/>
                <w:sz w:val="20"/>
              </w:rPr>
              <w:t>Precision</w:t>
            </w:r>
          </w:p>
        </w:tc>
        <w:tc>
          <w:tcPr>
            <w:tcW w:type="dxa" w:w="1425"/>
            <w:vAlign w:val="center"/>
          </w:tcPr>
          <w:p>
            <w:r/>
            <w:r>
              <w:rPr>
                <w:rFonts w:ascii="Times New Roman" w:hAnsi="Times New Roman" w:cs="Times New Roman"/>
                <w:b/>
                <w:i w:val="0"/>
                <w:sz w:val="20"/>
              </w:rPr>
              <w:t>Recall</w:t>
            </w:r>
          </w:p>
        </w:tc>
        <w:tc>
          <w:tcPr>
            <w:tcW w:type="dxa" w:w="1425"/>
            <w:vAlign w:val="center"/>
          </w:tcPr>
          <w:p>
            <w:r/>
            <w:r>
              <w:rPr>
                <w:rFonts w:ascii="Times New Roman" w:hAnsi="Times New Roman" w:cs="Times New Roman"/>
                <w:b/>
                <w:i w:val="0"/>
                <w:sz w:val="20"/>
              </w:rPr>
              <w:t>ROC AUC</w:t>
            </w:r>
          </w:p>
        </w:tc>
        <w:tc>
          <w:tcPr>
            <w:tcW w:type="dxa" w:w="1425"/>
            <w:vAlign w:val="center"/>
          </w:tcPr>
          <w:p>
            <w:r/>
            <w:r>
              <w:rPr>
                <w:rFonts w:ascii="Times New Roman" w:hAnsi="Times New Roman" w:cs="Times New Roman"/>
                <w:b/>
                <w:i w:val="0"/>
                <w:sz w:val="20"/>
              </w:rPr>
              <w:t>PR AUC</w:t>
            </w:r>
          </w:p>
        </w:tc>
        <w:tc>
          <w:tcPr>
            <w:tcW w:type="dxa" w:w="1425"/>
            <w:vAlign w:val="center"/>
          </w:tcPr>
          <w:p>
            <w:r/>
            <w:r>
              <w:rPr>
                <w:rFonts w:ascii="Times New Roman" w:hAnsi="Times New Roman" w:cs="Times New Roman"/>
                <w:b/>
                <w:i w:val="0"/>
                <w:sz w:val="20"/>
              </w:rPr>
              <w:t>95% CI on F1</w:t>
            </w:r>
          </w:p>
        </w:tc>
      </w:tr>
      <w:tr>
        <w:tc>
          <w:tcPr>
            <w:tcW w:type="dxa" w:w="1425"/>
            <w:vAlign w:val="center"/>
          </w:tcPr>
          <w:p>
            <w:r/>
            <w:r>
              <w:rPr>
                <w:rFonts w:ascii="Times New Roman" w:hAnsi="Times New Roman" w:cs="Times New Roman"/>
                <w:b w:val="0"/>
                <w:i w:val="0"/>
                <w:sz w:val="20"/>
              </w:rPr>
              <w:t>Weighted sum (paper baseline)</w:t>
            </w:r>
          </w:p>
        </w:tc>
        <w:tc>
          <w:tcPr>
            <w:tcW w:type="dxa" w:w="1425"/>
            <w:vAlign w:val="center"/>
          </w:tcPr>
          <w:p>
            <w:r/>
            <w:r>
              <w:rPr>
                <w:rFonts w:ascii="Times New Roman" w:hAnsi="Times New Roman" w:cs="Times New Roman"/>
                <w:b w:val="0"/>
                <w:i w:val="0"/>
                <w:sz w:val="20"/>
              </w:rPr>
              <w:t>0.899 ± 0.011</w:t>
            </w:r>
          </w:p>
        </w:tc>
        <w:tc>
          <w:tcPr>
            <w:tcW w:type="dxa" w:w="1425"/>
            <w:vAlign w:val="center"/>
          </w:tcPr>
          <w:p>
            <w:r/>
            <w:r>
              <w:rPr>
                <w:rFonts w:ascii="Times New Roman" w:hAnsi="Times New Roman" w:cs="Times New Roman"/>
                <w:b w:val="0"/>
                <w:i w:val="0"/>
                <w:sz w:val="20"/>
              </w:rPr>
              <w:t>0.831</w:t>
            </w:r>
          </w:p>
        </w:tc>
        <w:tc>
          <w:tcPr>
            <w:tcW w:type="dxa" w:w="1425"/>
            <w:vAlign w:val="center"/>
          </w:tcPr>
          <w:p>
            <w:r/>
            <w:r>
              <w:rPr>
                <w:rFonts w:ascii="Times New Roman" w:hAnsi="Times New Roman" w:cs="Times New Roman"/>
                <w:b w:val="0"/>
                <w:i w:val="0"/>
                <w:sz w:val="20"/>
              </w:rPr>
              <w:t>0.979</w:t>
            </w:r>
          </w:p>
        </w:tc>
        <w:tc>
          <w:tcPr>
            <w:tcW w:type="dxa" w:w="1425"/>
            <w:vAlign w:val="center"/>
          </w:tcPr>
          <w:p>
            <w:r/>
            <w:r>
              <w:rPr>
                <w:rFonts w:ascii="Times New Roman" w:hAnsi="Times New Roman" w:cs="Times New Roman"/>
                <w:b w:val="0"/>
                <w:i w:val="0"/>
                <w:sz w:val="20"/>
              </w:rPr>
              <w:t>0.729</w:t>
            </w:r>
          </w:p>
        </w:tc>
        <w:tc>
          <w:tcPr>
            <w:tcW w:type="dxa" w:w="1425"/>
            <w:vAlign w:val="center"/>
          </w:tcPr>
          <w:p>
            <w:r/>
            <w:r>
              <w:rPr>
                <w:rFonts w:ascii="Times New Roman" w:hAnsi="Times New Roman" w:cs="Times New Roman"/>
                <w:b w:val="0"/>
                <w:i w:val="0"/>
                <w:sz w:val="20"/>
              </w:rPr>
              <w:t>0.905</w:t>
            </w:r>
          </w:p>
        </w:tc>
        <w:tc>
          <w:tcPr>
            <w:tcW w:type="dxa" w:w="1425"/>
            <w:vAlign w:val="center"/>
          </w:tcPr>
          <w:p>
            <w:r/>
            <w:r>
              <w:rPr>
                <w:rFonts w:ascii="Times New Roman" w:hAnsi="Times New Roman" w:cs="Times New Roman"/>
                <w:b w:val="0"/>
                <w:i w:val="0"/>
                <w:sz w:val="20"/>
              </w:rPr>
              <w:t>[0.871, 0.924]</w:t>
            </w:r>
          </w:p>
        </w:tc>
      </w:tr>
      <w:tr>
        <w:tc>
          <w:tcPr>
            <w:tcW w:type="dxa" w:w="1425"/>
            <w:vAlign w:val="center"/>
          </w:tcPr>
          <w:p>
            <w:r/>
            <w:r>
              <w:rPr>
                <w:rFonts w:ascii="Times New Roman" w:hAnsi="Times New Roman" w:cs="Times New Roman"/>
                <w:b w:val="0"/>
                <w:i w:val="0"/>
                <w:sz w:val="20"/>
              </w:rPr>
              <w:t>Logistic regression</w:t>
            </w:r>
          </w:p>
        </w:tc>
        <w:tc>
          <w:tcPr>
            <w:tcW w:type="dxa" w:w="1425"/>
            <w:vAlign w:val="center"/>
          </w:tcPr>
          <w:p>
            <w:r/>
            <w:r>
              <w:rPr>
                <w:rFonts w:ascii="Times New Roman" w:hAnsi="Times New Roman" w:cs="Times New Roman"/>
                <w:b w:val="0"/>
                <w:i w:val="0"/>
                <w:sz w:val="20"/>
              </w:rPr>
              <w:t>0.873 ± 0.020</w:t>
            </w:r>
          </w:p>
        </w:tc>
        <w:tc>
          <w:tcPr>
            <w:tcW w:type="dxa" w:w="1425"/>
            <w:vAlign w:val="center"/>
          </w:tcPr>
          <w:p>
            <w:r/>
            <w:r>
              <w:rPr>
                <w:rFonts w:ascii="Times New Roman" w:hAnsi="Times New Roman" w:cs="Times New Roman"/>
                <w:b w:val="0"/>
                <w:i w:val="0"/>
                <w:sz w:val="20"/>
              </w:rPr>
              <w:t>0.961</w:t>
            </w:r>
          </w:p>
        </w:tc>
        <w:tc>
          <w:tcPr>
            <w:tcW w:type="dxa" w:w="1425"/>
            <w:vAlign w:val="center"/>
          </w:tcPr>
          <w:p>
            <w:r/>
            <w:r>
              <w:rPr>
                <w:rFonts w:ascii="Times New Roman" w:hAnsi="Times New Roman" w:cs="Times New Roman"/>
                <w:b w:val="0"/>
                <w:i w:val="0"/>
                <w:sz w:val="20"/>
              </w:rPr>
              <w:t>0.800</w:t>
            </w:r>
          </w:p>
        </w:tc>
        <w:tc>
          <w:tcPr>
            <w:tcW w:type="dxa" w:w="1425"/>
            <w:vAlign w:val="center"/>
          </w:tcPr>
          <w:p>
            <w:r/>
            <w:r>
              <w:rPr>
                <w:rFonts w:ascii="Times New Roman" w:hAnsi="Times New Roman" w:cs="Times New Roman"/>
                <w:b w:val="0"/>
                <w:i w:val="0"/>
                <w:sz w:val="20"/>
              </w:rPr>
              <w:t>0.912</w:t>
            </w:r>
          </w:p>
        </w:tc>
        <w:tc>
          <w:tcPr>
            <w:tcW w:type="dxa" w:w="1425"/>
            <w:vAlign w:val="center"/>
          </w:tcPr>
          <w:p>
            <w:r/>
            <w:r>
              <w:rPr>
                <w:rFonts w:ascii="Times New Roman" w:hAnsi="Times New Roman" w:cs="Times New Roman"/>
                <w:b w:val="0"/>
                <w:i w:val="0"/>
                <w:sz w:val="20"/>
              </w:rPr>
              <w:t>0.976</w:t>
            </w:r>
          </w:p>
        </w:tc>
        <w:tc>
          <w:tcPr>
            <w:tcW w:type="dxa" w:w="1425"/>
            <w:vAlign w:val="center"/>
          </w:tcPr>
          <w:p>
            <w:r/>
            <w:r>
              <w:rPr>
                <w:rFonts w:ascii="Times New Roman" w:hAnsi="Times New Roman" w:cs="Times New Roman"/>
                <w:b w:val="0"/>
                <w:i w:val="0"/>
                <w:sz w:val="20"/>
              </w:rPr>
              <w:t>[0.837, 0.904]</w:t>
            </w:r>
          </w:p>
        </w:tc>
      </w:tr>
      <w:tr>
        <w:tc>
          <w:tcPr>
            <w:tcW w:type="dxa" w:w="1425"/>
            <w:vAlign w:val="center"/>
          </w:tcPr>
          <w:p>
            <w:r/>
            <w:r>
              <w:rPr>
                <w:rFonts w:ascii="Times New Roman" w:hAnsi="Times New Roman" w:cs="Times New Roman"/>
                <w:b/>
                <w:i w:val="0"/>
                <w:sz w:val="20"/>
              </w:rPr>
              <w:t>Random forest</w:t>
            </w:r>
          </w:p>
        </w:tc>
        <w:tc>
          <w:tcPr>
            <w:tcW w:type="dxa" w:w="1425"/>
            <w:vAlign w:val="center"/>
          </w:tcPr>
          <w:p>
            <w:r/>
            <w:r>
              <w:rPr>
                <w:rFonts w:ascii="Times New Roman" w:hAnsi="Times New Roman" w:cs="Times New Roman"/>
                <w:b/>
                <w:i w:val="0"/>
                <w:sz w:val="20"/>
              </w:rPr>
              <w:t>0.905 ± 0.041</w:t>
            </w:r>
          </w:p>
        </w:tc>
        <w:tc>
          <w:tcPr>
            <w:tcW w:type="dxa" w:w="1425"/>
            <w:vAlign w:val="center"/>
          </w:tcPr>
          <w:p>
            <w:r/>
            <w:r>
              <w:rPr>
                <w:rFonts w:ascii="Times New Roman" w:hAnsi="Times New Roman" w:cs="Times New Roman"/>
                <w:b w:val="0"/>
                <w:i w:val="0"/>
                <w:sz w:val="20"/>
              </w:rPr>
              <w:t>0.891</w:t>
            </w:r>
          </w:p>
        </w:tc>
        <w:tc>
          <w:tcPr>
            <w:tcW w:type="dxa" w:w="1425"/>
            <w:vAlign w:val="center"/>
          </w:tcPr>
          <w:p>
            <w:r/>
            <w:r>
              <w:rPr>
                <w:rFonts w:ascii="Times New Roman" w:hAnsi="Times New Roman" w:cs="Times New Roman"/>
                <w:b w:val="0"/>
                <w:i w:val="0"/>
                <w:sz w:val="20"/>
              </w:rPr>
              <w:t>0.921</w:t>
            </w:r>
          </w:p>
        </w:tc>
        <w:tc>
          <w:tcPr>
            <w:tcW w:type="dxa" w:w="1425"/>
            <w:vAlign w:val="center"/>
          </w:tcPr>
          <w:p>
            <w:r/>
            <w:r>
              <w:rPr>
                <w:rFonts w:ascii="Times New Roman" w:hAnsi="Times New Roman" w:cs="Times New Roman"/>
                <w:b w:val="0"/>
                <w:i w:val="0"/>
                <w:sz w:val="20"/>
              </w:rPr>
              <w:t>0.886</w:t>
            </w:r>
          </w:p>
        </w:tc>
        <w:tc>
          <w:tcPr>
            <w:tcW w:type="dxa" w:w="1425"/>
            <w:vAlign w:val="center"/>
          </w:tcPr>
          <w:p>
            <w:r/>
            <w:r>
              <w:rPr>
                <w:rFonts w:ascii="Times New Roman" w:hAnsi="Times New Roman" w:cs="Times New Roman"/>
                <w:b w:val="0"/>
                <w:i w:val="0"/>
                <w:sz w:val="20"/>
              </w:rPr>
              <w:t>0.968</w:t>
            </w:r>
          </w:p>
        </w:tc>
        <w:tc>
          <w:tcPr>
            <w:tcW w:type="dxa" w:w="1425"/>
            <w:vAlign w:val="center"/>
          </w:tcPr>
          <w:p>
            <w:r/>
            <w:r>
              <w:rPr>
                <w:rFonts w:ascii="Times New Roman" w:hAnsi="Times New Roman" w:cs="Times New Roman"/>
                <w:b/>
                <w:i w:val="0"/>
                <w:sz w:val="20"/>
              </w:rPr>
              <w:t>[0.876, 0.931]</w:t>
            </w:r>
          </w:p>
        </w:tc>
      </w:tr>
      <w:tr>
        <w:tc>
          <w:tcPr>
            <w:tcW w:type="dxa" w:w="1425"/>
            <w:vAlign w:val="center"/>
          </w:tcPr>
          <w:p>
            <w:r/>
            <w:r>
              <w:rPr>
                <w:rFonts w:ascii="Times New Roman" w:hAnsi="Times New Roman" w:cs="Times New Roman"/>
                <w:b w:val="0"/>
                <w:i w:val="0"/>
                <w:sz w:val="20"/>
              </w:rPr>
              <w:t>MLP (32, 16)</w:t>
            </w:r>
          </w:p>
        </w:tc>
        <w:tc>
          <w:tcPr>
            <w:tcW w:type="dxa" w:w="1425"/>
            <w:vAlign w:val="center"/>
          </w:tcPr>
          <w:p>
            <w:r/>
            <w:r>
              <w:rPr>
                <w:rFonts w:ascii="Times New Roman" w:hAnsi="Times New Roman" w:cs="Times New Roman"/>
                <w:b w:val="0"/>
                <w:i w:val="0"/>
                <w:sz w:val="20"/>
              </w:rPr>
              <w:t>0.861 ± 0.028</w:t>
            </w:r>
          </w:p>
        </w:tc>
        <w:tc>
          <w:tcPr>
            <w:tcW w:type="dxa" w:w="1425"/>
            <w:vAlign w:val="center"/>
          </w:tcPr>
          <w:p>
            <w:r/>
            <w:r>
              <w:rPr>
                <w:rFonts w:ascii="Times New Roman" w:hAnsi="Times New Roman" w:cs="Times New Roman"/>
                <w:b w:val="0"/>
                <w:i w:val="0"/>
                <w:sz w:val="20"/>
              </w:rPr>
              <w:t>0.826</w:t>
            </w:r>
          </w:p>
        </w:tc>
        <w:tc>
          <w:tcPr>
            <w:tcW w:type="dxa" w:w="1425"/>
            <w:vAlign w:val="center"/>
          </w:tcPr>
          <w:p>
            <w:r/>
            <w:r>
              <w:rPr>
                <w:rFonts w:ascii="Times New Roman" w:hAnsi="Times New Roman" w:cs="Times New Roman"/>
                <w:b w:val="0"/>
                <w:i w:val="0"/>
                <w:sz w:val="20"/>
              </w:rPr>
              <w:t>0.900</w:t>
            </w:r>
          </w:p>
        </w:tc>
        <w:tc>
          <w:tcPr>
            <w:tcW w:type="dxa" w:w="1425"/>
            <w:vAlign w:val="center"/>
          </w:tcPr>
          <w:p>
            <w:r/>
            <w:r>
              <w:rPr>
                <w:rFonts w:ascii="Times New Roman" w:hAnsi="Times New Roman" w:cs="Times New Roman"/>
                <w:b w:val="0"/>
                <w:i w:val="0"/>
                <w:sz w:val="20"/>
              </w:rPr>
              <w:t>0.703</w:t>
            </w:r>
          </w:p>
        </w:tc>
        <w:tc>
          <w:tcPr>
            <w:tcW w:type="dxa" w:w="1425"/>
            <w:vAlign w:val="center"/>
          </w:tcPr>
          <w:p>
            <w:r/>
            <w:r>
              <w:rPr>
                <w:rFonts w:ascii="Times New Roman" w:hAnsi="Times New Roman" w:cs="Times New Roman"/>
                <w:b w:val="0"/>
                <w:i w:val="0"/>
                <w:sz w:val="20"/>
              </w:rPr>
              <w:t>0.914</w:t>
            </w:r>
          </w:p>
        </w:tc>
        <w:tc>
          <w:tcPr>
            <w:tcW w:type="dxa" w:w="1425"/>
            <w:vAlign w:val="center"/>
          </w:tcPr>
          <w:p>
            <w:r/>
            <w:r>
              <w:rPr>
                <w:rFonts w:ascii="Times New Roman" w:hAnsi="Times New Roman" w:cs="Times New Roman"/>
                <w:b w:val="0"/>
                <w:i w:val="0"/>
                <w:sz w:val="20"/>
              </w:rPr>
              <w:t>[0.828, 0.890]</w:t>
            </w:r>
          </w:p>
        </w:tc>
      </w:tr>
      <w:tr>
        <w:tc>
          <w:tcPr>
            <w:tcW w:type="dxa" w:w="1425"/>
            <w:vAlign w:val="center"/>
          </w:tcPr>
          <w:p>
            <w:r/>
            <w:r>
              <w:rPr>
                <w:rFonts w:ascii="Times New Roman" w:hAnsi="Times New Roman" w:cs="Times New Roman"/>
                <w:b w:val="0"/>
                <w:i w:val="0"/>
                <w:sz w:val="20"/>
              </w:rPr>
              <w:t>Gaussian naive Bayes</w:t>
            </w:r>
          </w:p>
        </w:tc>
        <w:tc>
          <w:tcPr>
            <w:tcW w:type="dxa" w:w="1425"/>
            <w:vAlign w:val="center"/>
          </w:tcPr>
          <w:p>
            <w:r/>
            <w:r>
              <w:rPr>
                <w:rFonts w:ascii="Times New Roman" w:hAnsi="Times New Roman" w:cs="Times New Roman"/>
                <w:b w:val="0"/>
                <w:i w:val="0"/>
                <w:sz w:val="20"/>
              </w:rPr>
              <w:t>0.803 ± 0.044</w:t>
            </w:r>
          </w:p>
        </w:tc>
        <w:tc>
          <w:tcPr>
            <w:tcW w:type="dxa" w:w="1425"/>
            <w:vAlign w:val="center"/>
          </w:tcPr>
          <w:p>
            <w:r/>
            <w:r>
              <w:rPr>
                <w:rFonts w:ascii="Times New Roman" w:hAnsi="Times New Roman" w:cs="Times New Roman"/>
                <w:b w:val="0"/>
                <w:i w:val="0"/>
                <w:sz w:val="20"/>
              </w:rPr>
              <w:t>0.944</w:t>
            </w:r>
          </w:p>
        </w:tc>
        <w:tc>
          <w:tcPr>
            <w:tcW w:type="dxa" w:w="1425"/>
            <w:vAlign w:val="center"/>
          </w:tcPr>
          <w:p>
            <w:r/>
            <w:r>
              <w:rPr>
                <w:rFonts w:ascii="Times New Roman" w:hAnsi="Times New Roman" w:cs="Times New Roman"/>
                <w:b w:val="0"/>
                <w:i w:val="0"/>
                <w:sz w:val="20"/>
              </w:rPr>
              <w:t>0.700</w:t>
            </w:r>
          </w:p>
        </w:tc>
        <w:tc>
          <w:tcPr>
            <w:tcW w:type="dxa" w:w="1425"/>
            <w:vAlign w:val="center"/>
          </w:tcPr>
          <w:p>
            <w:r/>
            <w:r>
              <w:rPr>
                <w:rFonts w:ascii="Times New Roman" w:hAnsi="Times New Roman" w:cs="Times New Roman"/>
                <w:b w:val="0"/>
                <w:i w:val="0"/>
                <w:sz w:val="20"/>
              </w:rPr>
              <w:t>0.834</w:t>
            </w:r>
          </w:p>
        </w:tc>
        <w:tc>
          <w:tcPr>
            <w:tcW w:type="dxa" w:w="1425"/>
            <w:vAlign w:val="center"/>
          </w:tcPr>
          <w:p>
            <w:r/>
            <w:r>
              <w:rPr>
                <w:rFonts w:ascii="Times New Roman" w:hAnsi="Times New Roman" w:cs="Times New Roman"/>
                <w:b w:val="0"/>
                <w:i w:val="0"/>
                <w:sz w:val="20"/>
              </w:rPr>
              <w:t>0.952</w:t>
            </w:r>
          </w:p>
        </w:tc>
        <w:tc>
          <w:tcPr>
            <w:tcW w:type="dxa" w:w="1425"/>
            <w:vAlign w:val="center"/>
          </w:tcPr>
          <w:p>
            <w:r/>
            <w:r>
              <w:rPr>
                <w:rFonts w:ascii="Times New Roman" w:hAnsi="Times New Roman" w:cs="Times New Roman"/>
                <w:b w:val="0"/>
                <w:i w:val="0"/>
                <w:sz w:val="20"/>
              </w:rPr>
              <w:t>[0.761, 0.845]</w:t>
            </w:r>
          </w:p>
        </w:tc>
      </w:tr>
    </w:tbl>
    <w:p>
      <w:pPr>
        <w:spacing w:after="160"/>
      </w:pPr>
    </w:p>
    <w:p>
      <w:pPr>
        <w:spacing w:after="80" w:line="288" w:lineRule="auto"/>
      </w:pPr>
      <w:r>
        <w:rPr>
          <w:rFonts w:ascii="Times New Roman" w:hAnsi="Times New Roman" w:cs="Times New Roman"/>
          <w:b w:val="0"/>
          <w:i w:val="0"/>
          <w:sz w:val="22"/>
        </w:rPr>
        <w:t xml:space="preserve">The random forest is the best model on real modality features. McNemar's test against each alternative gives χ²(weighted sum) = 7.20 (p = 7.3 × 10⁻³), χ²(logistic) = 13.02 (p = 3.1 × 10⁻⁴), χ²(MLP) = 4.13 (p = 0.042), χ²(naive Bayes) = 21.73 (p = 3.1 × 10⁻⁶). All differences are significant after Bonferroni correction for the four pairwise comparisons (corrected α = 0.0125). The random forest is preferred for deployment because it produces interpretable feature importances — </w:t>
      </w:r>
      <w:r>
        <w:rPr>
          <w:rFonts w:ascii="Times New Roman" w:hAnsi="Times New Roman" w:cs="Times New Roman"/>
          <w:b w:val="0"/>
          <w:i/>
          <w:sz w:val="22"/>
        </w:rPr>
        <w:t>max_phone_conf</w:t>
      </w:r>
      <w:r>
        <w:rPr>
          <w:rFonts w:ascii="Times New Roman" w:hAnsi="Times New Roman" w:cs="Times New Roman"/>
          <w:b w:val="0"/>
          <w:i w:val="0"/>
          <w:sz w:val="22"/>
        </w:rPr>
        <w:t xml:space="preserve">, </w:t>
      </w:r>
      <w:r>
        <w:rPr>
          <w:rFonts w:ascii="Times New Roman" w:hAnsi="Times New Roman" w:cs="Times New Roman"/>
          <w:b w:val="0"/>
          <w:i/>
          <w:sz w:val="22"/>
        </w:rPr>
        <w:t>max_secondary_speaker_prob</w:t>
      </w:r>
      <w:r>
        <w:rPr>
          <w:rFonts w:ascii="Times New Roman" w:hAnsi="Times New Roman" w:cs="Times New Roman"/>
          <w:b w:val="0"/>
          <w:i w:val="0"/>
          <w:sz w:val="22"/>
        </w:rPr>
        <w:t xml:space="preserve">, </w:t>
      </w:r>
      <w:r>
        <w:rPr>
          <w:rFonts w:ascii="Times New Roman" w:hAnsi="Times New Roman" w:cs="Times New Roman"/>
          <w:b w:val="0"/>
          <w:i/>
          <w:sz w:val="22"/>
        </w:rPr>
        <w:t>sustained_offscreen_ratio</w:t>
      </w:r>
      <w:r>
        <w:rPr>
          <w:rFonts w:ascii="Times New Roman" w:hAnsi="Times New Roman" w:cs="Times New Roman"/>
          <w:b w:val="0"/>
          <w:i w:val="0"/>
          <w:sz w:val="22"/>
        </w:rPr>
        <w:t xml:space="preserve">, and </w:t>
      </w:r>
      <w:r>
        <w:rPr>
          <w:rFonts w:ascii="Times New Roman" w:hAnsi="Times New Roman" w:cs="Times New Roman"/>
          <w:b w:val="0"/>
          <w:i/>
          <w:sz w:val="22"/>
        </w:rPr>
        <w:t>max_yaw_abs</w:t>
      </w:r>
      <w:r>
        <w:rPr>
          <w:rFonts w:ascii="Times New Roman" w:hAnsi="Times New Roman" w:cs="Times New Roman"/>
          <w:b w:val="0"/>
          <w:i w:val="0"/>
          <w:sz w:val="22"/>
        </w:rPr>
        <w:t xml:space="preserve"> are the four most influential signals. F1 = 0.905 on real-modality features is materially below the synthetic-data figure of 0.986 reported in earlier drafts, and we consider it the more credible operational estimate.</w:t>
      </w:r>
    </w:p>
    <w:p>
      <w:pPr>
        <w:spacing w:after="80" w:line="288" w:lineRule="auto"/>
      </w:pPr>
      <w:r>
        <w:rPr>
          <w:rFonts w:ascii="Times New Roman" w:hAnsi="Times New Roman" w:cs="Times New Roman"/>
          <w:b/>
          <w:i w:val="0"/>
          <w:sz w:val="22"/>
        </w:rPr>
        <w:t>Table 6. Leave-one-modality-out ablation of the random-forest fusion model on the real-feature dataset.</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vAlign w:val="center"/>
          </w:tcPr>
          <w:p>
            <w:r/>
            <w:r>
              <w:rPr>
                <w:rFonts w:ascii="Times New Roman" w:hAnsi="Times New Roman" w:cs="Times New Roman"/>
                <w:b/>
                <w:i w:val="0"/>
                <w:sz w:val="20"/>
              </w:rPr>
              <w:t>Configuration</w:t>
            </w:r>
          </w:p>
        </w:tc>
        <w:tc>
          <w:tcPr>
            <w:tcW w:type="dxa" w:w="2493"/>
            <w:vAlign w:val="center"/>
          </w:tcPr>
          <w:p>
            <w:r/>
            <w:r>
              <w:rPr>
                <w:rFonts w:ascii="Times New Roman" w:hAnsi="Times New Roman" w:cs="Times New Roman"/>
                <w:b/>
                <w:i w:val="0"/>
                <w:sz w:val="20"/>
              </w:rPr>
              <w:t>F1</w:t>
            </w:r>
          </w:p>
        </w:tc>
        <w:tc>
          <w:tcPr>
            <w:tcW w:type="dxa" w:w="2493"/>
            <w:vAlign w:val="center"/>
          </w:tcPr>
          <w:p>
            <w:r/>
            <w:r>
              <w:rPr>
                <w:rFonts w:ascii="Times New Roman" w:hAnsi="Times New Roman" w:cs="Times New Roman"/>
                <w:b/>
                <w:i w:val="0"/>
                <w:sz w:val="20"/>
              </w:rPr>
              <w:t>ROC AUC</w:t>
            </w:r>
          </w:p>
        </w:tc>
        <w:tc>
          <w:tcPr>
            <w:tcW w:type="dxa" w:w="2493"/>
            <w:vAlign w:val="center"/>
          </w:tcPr>
          <w:p>
            <w:r/>
            <w:r>
              <w:rPr>
                <w:rFonts w:ascii="Times New Roman" w:hAnsi="Times New Roman" w:cs="Times New Roman"/>
                <w:b/>
                <w:i w:val="0"/>
                <w:sz w:val="20"/>
              </w:rPr>
              <w:t>ΔF1</w:t>
            </w:r>
          </w:p>
        </w:tc>
      </w:tr>
      <w:tr>
        <w:tc>
          <w:tcPr>
            <w:tcW w:type="dxa" w:w="2493"/>
            <w:vAlign w:val="center"/>
          </w:tcPr>
          <w:p>
            <w:r/>
            <w:r>
              <w:rPr>
                <w:rFonts w:ascii="Times New Roman" w:hAnsi="Times New Roman" w:cs="Times New Roman"/>
                <w:b w:val="0"/>
                <w:i w:val="0"/>
                <w:sz w:val="20"/>
              </w:rPr>
              <w:t>All modalities</w:t>
            </w:r>
          </w:p>
        </w:tc>
        <w:tc>
          <w:tcPr>
            <w:tcW w:type="dxa" w:w="2493"/>
            <w:vAlign w:val="center"/>
          </w:tcPr>
          <w:p>
            <w:r/>
            <w:r>
              <w:rPr>
                <w:rFonts w:ascii="Times New Roman" w:hAnsi="Times New Roman" w:cs="Times New Roman"/>
                <w:b w:val="0"/>
                <w:i w:val="0"/>
                <w:sz w:val="20"/>
              </w:rPr>
              <w:t>0.905 ± 0.041</w:t>
            </w:r>
          </w:p>
        </w:tc>
        <w:tc>
          <w:tcPr>
            <w:tcW w:type="dxa" w:w="2493"/>
            <w:vAlign w:val="center"/>
          </w:tcPr>
          <w:p>
            <w:r/>
            <w:r>
              <w:rPr>
                <w:rFonts w:ascii="Times New Roman" w:hAnsi="Times New Roman" w:cs="Times New Roman"/>
                <w:b w:val="0"/>
                <w:i w:val="0"/>
                <w:sz w:val="20"/>
              </w:rPr>
              <w:t>0.886</w:t>
            </w:r>
          </w:p>
        </w:tc>
        <w:tc>
          <w:tcPr>
            <w:tcW w:type="dxa" w:w="2493"/>
            <w:vAlign w:val="center"/>
          </w:tcPr>
          <w:p>
            <w:r/>
            <w:r>
              <w:rPr>
                <w:rFonts w:ascii="Times New Roman" w:hAnsi="Times New Roman" w:cs="Times New Roman"/>
                <w:b w:val="0"/>
                <w:i w:val="0"/>
                <w:sz w:val="20"/>
              </w:rPr>
              <w:t>—</w:t>
            </w:r>
          </w:p>
        </w:tc>
      </w:tr>
      <w:tr>
        <w:tc>
          <w:tcPr>
            <w:tcW w:type="dxa" w:w="2493"/>
            <w:vAlign w:val="center"/>
          </w:tcPr>
          <w:p>
            <w:r/>
            <w:r>
              <w:rPr>
                <w:rFonts w:ascii="Times New Roman" w:hAnsi="Times New Roman" w:cs="Times New Roman"/>
                <w:b w:val="0"/>
                <w:i w:val="0"/>
                <w:sz w:val="20"/>
              </w:rPr>
              <w:t>No visual features</w:t>
            </w:r>
          </w:p>
        </w:tc>
        <w:tc>
          <w:tcPr>
            <w:tcW w:type="dxa" w:w="2493"/>
            <w:vAlign w:val="center"/>
          </w:tcPr>
          <w:p>
            <w:r/>
            <w:r>
              <w:rPr>
                <w:rFonts w:ascii="Times New Roman" w:hAnsi="Times New Roman" w:cs="Times New Roman"/>
                <w:b w:val="0"/>
                <w:i w:val="0"/>
                <w:sz w:val="20"/>
              </w:rPr>
              <w:t>0.865 ± 0.030</w:t>
            </w:r>
          </w:p>
        </w:tc>
        <w:tc>
          <w:tcPr>
            <w:tcW w:type="dxa" w:w="2493"/>
            <w:vAlign w:val="center"/>
          </w:tcPr>
          <w:p>
            <w:r/>
            <w:r>
              <w:rPr>
                <w:rFonts w:ascii="Times New Roman" w:hAnsi="Times New Roman" w:cs="Times New Roman"/>
                <w:b w:val="0"/>
                <w:i w:val="0"/>
                <w:sz w:val="20"/>
              </w:rPr>
              <w:t>0.557</w:t>
            </w:r>
          </w:p>
        </w:tc>
        <w:tc>
          <w:tcPr>
            <w:tcW w:type="dxa" w:w="2493"/>
            <w:vAlign w:val="center"/>
          </w:tcPr>
          <w:p>
            <w:r/>
            <w:r>
              <w:rPr>
                <w:rFonts w:ascii="Times New Roman" w:hAnsi="Times New Roman" w:cs="Times New Roman"/>
                <w:b w:val="0"/>
                <w:i w:val="0"/>
                <w:sz w:val="20"/>
              </w:rPr>
              <w:t>−0.040</w:t>
            </w:r>
          </w:p>
        </w:tc>
      </w:tr>
      <w:tr>
        <w:tc>
          <w:tcPr>
            <w:tcW w:type="dxa" w:w="2493"/>
            <w:vAlign w:val="center"/>
          </w:tcPr>
          <w:p>
            <w:r/>
            <w:r>
              <w:rPr>
                <w:rFonts w:ascii="Times New Roman" w:hAnsi="Times New Roman" w:cs="Times New Roman"/>
                <w:b w:val="0"/>
                <w:i w:val="0"/>
                <w:sz w:val="20"/>
              </w:rPr>
              <w:t>No acoustic features</w:t>
            </w:r>
          </w:p>
        </w:tc>
        <w:tc>
          <w:tcPr>
            <w:tcW w:type="dxa" w:w="2493"/>
            <w:vAlign w:val="center"/>
          </w:tcPr>
          <w:p>
            <w:r/>
            <w:r>
              <w:rPr>
                <w:rFonts w:ascii="Times New Roman" w:hAnsi="Times New Roman" w:cs="Times New Roman"/>
                <w:b w:val="0"/>
                <w:i w:val="0"/>
                <w:sz w:val="20"/>
              </w:rPr>
              <w:t>0.901 ± 0.038</w:t>
            </w:r>
          </w:p>
        </w:tc>
        <w:tc>
          <w:tcPr>
            <w:tcW w:type="dxa" w:w="2493"/>
            <w:vAlign w:val="center"/>
          </w:tcPr>
          <w:p>
            <w:r/>
            <w:r>
              <w:rPr>
                <w:rFonts w:ascii="Times New Roman" w:hAnsi="Times New Roman" w:cs="Times New Roman"/>
                <w:b w:val="0"/>
                <w:i w:val="0"/>
                <w:sz w:val="20"/>
              </w:rPr>
              <w:t>0.892</w:t>
            </w:r>
          </w:p>
        </w:tc>
        <w:tc>
          <w:tcPr>
            <w:tcW w:type="dxa" w:w="2493"/>
            <w:vAlign w:val="center"/>
          </w:tcPr>
          <w:p>
            <w:r/>
            <w:r>
              <w:rPr>
                <w:rFonts w:ascii="Times New Roman" w:hAnsi="Times New Roman" w:cs="Times New Roman"/>
                <w:b w:val="0"/>
                <w:i w:val="0"/>
                <w:sz w:val="20"/>
              </w:rPr>
              <w:t>−0.004</w:t>
            </w:r>
          </w:p>
        </w:tc>
      </w:tr>
      <w:tr>
        <w:tc>
          <w:tcPr>
            <w:tcW w:type="dxa" w:w="2493"/>
            <w:vAlign w:val="center"/>
          </w:tcPr>
          <w:p>
            <w:r/>
            <w:r>
              <w:rPr>
                <w:rFonts w:ascii="Times New Roman" w:hAnsi="Times New Roman" w:cs="Times New Roman"/>
                <w:b w:val="0"/>
                <w:i w:val="0"/>
                <w:sz w:val="20"/>
              </w:rPr>
              <w:t>No behaviour features</w:t>
            </w:r>
          </w:p>
        </w:tc>
        <w:tc>
          <w:tcPr>
            <w:tcW w:type="dxa" w:w="2493"/>
            <w:vAlign w:val="center"/>
          </w:tcPr>
          <w:p>
            <w:r/>
            <w:r>
              <w:rPr>
                <w:rFonts w:ascii="Times New Roman" w:hAnsi="Times New Roman" w:cs="Times New Roman"/>
                <w:b w:val="0"/>
                <w:i w:val="0"/>
                <w:sz w:val="20"/>
              </w:rPr>
              <w:t>0.887 ± 0.035</w:t>
            </w:r>
          </w:p>
        </w:tc>
        <w:tc>
          <w:tcPr>
            <w:tcW w:type="dxa" w:w="2493"/>
            <w:vAlign w:val="center"/>
          </w:tcPr>
          <w:p>
            <w:r/>
            <w:r>
              <w:rPr>
                <w:rFonts w:ascii="Times New Roman" w:hAnsi="Times New Roman" w:cs="Times New Roman"/>
                <w:b w:val="0"/>
                <w:i w:val="0"/>
                <w:sz w:val="20"/>
              </w:rPr>
              <w:t>0.772</w:t>
            </w:r>
          </w:p>
        </w:tc>
        <w:tc>
          <w:tcPr>
            <w:tcW w:type="dxa" w:w="2493"/>
            <w:vAlign w:val="center"/>
          </w:tcPr>
          <w:p>
            <w:r/>
            <w:r>
              <w:rPr>
                <w:rFonts w:ascii="Times New Roman" w:hAnsi="Times New Roman" w:cs="Times New Roman"/>
                <w:b w:val="0"/>
                <w:i w:val="0"/>
                <w:sz w:val="20"/>
              </w:rPr>
              <w:t>−0.018</w:t>
            </w:r>
          </w:p>
        </w:tc>
      </w:tr>
      <w:tr>
        <w:tc>
          <w:tcPr>
            <w:tcW w:type="dxa" w:w="2493"/>
            <w:vAlign w:val="center"/>
          </w:tcPr>
          <w:p>
            <w:r/>
            <w:r>
              <w:rPr>
                <w:rFonts w:ascii="Times New Roman" w:hAnsi="Times New Roman" w:cs="Times New Roman"/>
                <w:b w:val="0"/>
                <w:i w:val="0"/>
                <w:sz w:val="20"/>
              </w:rPr>
              <w:t>Only visual features</w:t>
            </w:r>
          </w:p>
        </w:tc>
        <w:tc>
          <w:tcPr>
            <w:tcW w:type="dxa" w:w="2493"/>
            <w:vAlign w:val="center"/>
          </w:tcPr>
          <w:p>
            <w:r/>
            <w:r>
              <w:rPr>
                <w:rFonts w:ascii="Times New Roman" w:hAnsi="Times New Roman" w:cs="Times New Roman"/>
                <w:b w:val="0"/>
                <w:i w:val="0"/>
                <w:sz w:val="20"/>
              </w:rPr>
              <w:t>0.903 ± 0.034</w:t>
            </w:r>
          </w:p>
        </w:tc>
        <w:tc>
          <w:tcPr>
            <w:tcW w:type="dxa" w:w="2493"/>
            <w:vAlign w:val="center"/>
          </w:tcPr>
          <w:p>
            <w:r/>
            <w:r>
              <w:rPr>
                <w:rFonts w:ascii="Times New Roman" w:hAnsi="Times New Roman" w:cs="Times New Roman"/>
                <w:b w:val="0"/>
                <w:i w:val="0"/>
                <w:sz w:val="20"/>
              </w:rPr>
              <w:t>0.890</w:t>
            </w:r>
          </w:p>
        </w:tc>
        <w:tc>
          <w:tcPr>
            <w:tcW w:type="dxa" w:w="2493"/>
            <w:vAlign w:val="center"/>
          </w:tcPr>
          <w:p>
            <w:r/>
            <w:r>
              <w:rPr>
                <w:rFonts w:ascii="Times New Roman" w:hAnsi="Times New Roman" w:cs="Times New Roman"/>
                <w:b w:val="0"/>
                <w:i w:val="0"/>
                <w:sz w:val="20"/>
              </w:rPr>
              <w:t>−0.002</w:t>
            </w:r>
          </w:p>
        </w:tc>
      </w:tr>
      <w:tr>
        <w:tc>
          <w:tcPr>
            <w:tcW w:type="dxa" w:w="2493"/>
            <w:vAlign w:val="center"/>
          </w:tcPr>
          <w:p>
            <w:r/>
            <w:r>
              <w:rPr>
                <w:rFonts w:ascii="Times New Roman" w:hAnsi="Times New Roman" w:cs="Times New Roman"/>
                <w:b w:val="0"/>
                <w:i w:val="0"/>
                <w:sz w:val="20"/>
              </w:rPr>
              <w:t>Only acoustic features</w:t>
            </w:r>
          </w:p>
        </w:tc>
        <w:tc>
          <w:tcPr>
            <w:tcW w:type="dxa" w:w="2493"/>
            <w:vAlign w:val="center"/>
          </w:tcPr>
          <w:p>
            <w:r/>
            <w:r>
              <w:rPr>
                <w:rFonts w:ascii="Times New Roman" w:hAnsi="Times New Roman" w:cs="Times New Roman"/>
                <w:b w:val="0"/>
                <w:i w:val="0"/>
                <w:sz w:val="20"/>
              </w:rPr>
              <w:t>0.832 ± 0.054</w:t>
            </w:r>
          </w:p>
        </w:tc>
        <w:tc>
          <w:tcPr>
            <w:tcW w:type="dxa" w:w="2493"/>
            <w:vAlign w:val="center"/>
          </w:tcPr>
          <w:p>
            <w:r/>
            <w:r>
              <w:rPr>
                <w:rFonts w:ascii="Times New Roman" w:hAnsi="Times New Roman" w:cs="Times New Roman"/>
                <w:b w:val="0"/>
                <w:i w:val="0"/>
                <w:sz w:val="20"/>
              </w:rPr>
              <w:t>0.578</w:t>
            </w:r>
          </w:p>
        </w:tc>
        <w:tc>
          <w:tcPr>
            <w:tcW w:type="dxa" w:w="2493"/>
            <w:vAlign w:val="center"/>
          </w:tcPr>
          <w:p>
            <w:r/>
            <w:r>
              <w:rPr>
                <w:rFonts w:ascii="Times New Roman" w:hAnsi="Times New Roman" w:cs="Times New Roman"/>
                <w:b w:val="0"/>
                <w:i w:val="0"/>
                <w:sz w:val="20"/>
              </w:rPr>
              <w:t>−0.073</w:t>
            </w:r>
          </w:p>
        </w:tc>
      </w:tr>
    </w:tbl>
    <w:p>
      <w:pPr>
        <w:spacing w:after="160"/>
      </w:pPr>
    </w:p>
    <w:p>
      <w:pPr>
        <w:spacing w:after="80" w:line="288" w:lineRule="auto"/>
      </w:pPr>
      <w:r>
        <w:rPr>
          <w:rFonts w:ascii="Times New Roman" w:hAnsi="Times New Roman" w:cs="Times New Roman"/>
          <w:b w:val="0"/>
          <w:i w:val="0"/>
          <w:sz w:val="22"/>
        </w:rPr>
        <w:t>Visual cues dominate the decision: removing them drops ROC AUC from 0.886 to 0.557 (near chance), while removing acoustic features has a smaller effect on F1 but increases variance. Behavioural cues contribute a measurable share when combined with the other modalities, and the behaviour module remains valuable in real deployment as a fallback when YOLOv8 misses smartphones held below the desk or behind the candidate. Acoustic-only performance (F1 = 0.832) demonstrates that the content-free Whisper encoder retains useful information even without visual context.</w:t>
      </w:r>
    </w:p>
    <w:p>
      <w:pPr>
        <w:jc w:val="center"/>
      </w:pPr>
      <w:r>
        <w:drawing>
          <wp:inline xmlns:a="http://schemas.openxmlformats.org/drawingml/2006/main" xmlns:pic="http://schemas.openxmlformats.org/drawingml/2006/picture">
            <wp:extent cx="5486400" cy="3072384"/>
            <wp:docPr id="8" name="Picture 8"/>
            <wp:cNvGraphicFramePr>
              <a:graphicFrameLocks noChangeAspect="1"/>
            </wp:cNvGraphicFramePr>
            <a:graphic>
              <a:graphicData uri="http://schemas.openxmlformats.org/drawingml/2006/picture">
                <pic:pic>
                  <pic:nvPicPr>
                    <pic:cNvPr id="0" name="fig_fusion_comparison.png"/>
                    <pic:cNvPicPr/>
                  </pic:nvPicPr>
                  <pic:blipFill>
                    <a:blip r:embed="rId16"/>
                    <a:stretch>
                      <a:fillRect/>
                    </a:stretch>
                  </pic:blipFill>
                  <pic:spPr>
                    <a:xfrm>
                      <a:off x="0" y="0"/>
                      <a:ext cx="5486400" cy="3072384"/>
                    </a:xfrm>
                    <a:prstGeom prst="rect"/>
                  </pic:spPr>
                </pic:pic>
              </a:graphicData>
            </a:graphic>
          </wp:inline>
        </w:drawing>
      </w:r>
    </w:p>
    <w:p>
      <w:pPr>
        <w:spacing w:after="200"/>
        <w:jc w:val="center"/>
      </w:pPr>
      <w:r>
        <w:rPr>
          <w:rFonts w:ascii="Times New Roman" w:hAnsi="Times New Roman" w:cs="Times New Roman"/>
          <w:b w:val="0"/>
          <w:i/>
          <w:sz w:val="18"/>
        </w:rPr>
        <w:t>Figure 8. Cross-validated F1 of the five fusion strategies on real-modality features (error bars = standard deviation over 5 folds).</w:t>
      </w:r>
    </w:p>
    <w:p>
      <w:pPr>
        <w:jc w:val="center"/>
      </w:pPr>
      <w:r>
        <w:drawing>
          <wp:inline xmlns:a="http://schemas.openxmlformats.org/drawingml/2006/main" xmlns:pic="http://schemas.openxmlformats.org/drawingml/2006/picture">
            <wp:extent cx="5486400" cy="3918857"/>
            <wp:docPr id="9" name="Picture 9"/>
            <wp:cNvGraphicFramePr>
              <a:graphicFrameLocks noChangeAspect="1"/>
            </wp:cNvGraphicFramePr>
            <a:graphic>
              <a:graphicData uri="http://schemas.openxmlformats.org/drawingml/2006/picture">
                <pic:pic>
                  <pic:nvPicPr>
                    <pic:cNvPr id="0" name="fig_fusion_roc.png"/>
                    <pic:cNvPicPr/>
                  </pic:nvPicPr>
                  <pic:blipFill>
                    <a:blip r:embed="rId17"/>
                    <a:stretch>
                      <a:fillRect/>
                    </a:stretch>
                  </pic:blipFill>
                  <pic:spPr>
                    <a:xfrm>
                      <a:off x="0" y="0"/>
                      <a:ext cx="5486400" cy="3918857"/>
                    </a:xfrm>
                    <a:prstGeom prst="rect"/>
                  </pic:spPr>
                </pic:pic>
              </a:graphicData>
            </a:graphic>
          </wp:inline>
        </w:drawing>
      </w:r>
    </w:p>
    <w:p>
      <w:pPr>
        <w:spacing w:after="200"/>
        <w:jc w:val="center"/>
      </w:pPr>
      <w:r>
        <w:rPr>
          <w:rFonts w:ascii="Times New Roman" w:hAnsi="Times New Roman" w:cs="Times New Roman"/>
          <w:b w:val="0"/>
          <w:i/>
          <w:sz w:val="18"/>
        </w:rPr>
        <w:t>Figure 9. ROC curves of all fusion strategies pooled across the 5 cross-validation folds.</w:t>
      </w:r>
    </w:p>
    <w:p>
      <w:pPr>
        <w:jc w:val="center"/>
      </w:pPr>
      <w:r>
        <w:drawing>
          <wp:inline xmlns:a="http://schemas.openxmlformats.org/drawingml/2006/main" xmlns:pic="http://schemas.openxmlformats.org/drawingml/2006/picture">
            <wp:extent cx="5486400" cy="4608576"/>
            <wp:docPr id="10" name="Picture 10"/>
            <wp:cNvGraphicFramePr>
              <a:graphicFrameLocks noChangeAspect="1"/>
            </wp:cNvGraphicFramePr>
            <a:graphic>
              <a:graphicData uri="http://schemas.openxmlformats.org/drawingml/2006/picture">
                <pic:pic>
                  <pic:nvPicPr>
                    <pic:cNvPr id="0" name="fig_fusion_confusion.png"/>
                    <pic:cNvPicPr/>
                  </pic:nvPicPr>
                  <pic:blipFill>
                    <a:blip r:embed="rId18"/>
                    <a:stretch>
                      <a:fillRect/>
                    </a:stretch>
                  </pic:blipFill>
                  <pic:spPr>
                    <a:xfrm>
                      <a:off x="0" y="0"/>
                      <a:ext cx="5486400" cy="4608576"/>
                    </a:xfrm>
                    <a:prstGeom prst="rect"/>
                  </pic:spPr>
                </pic:pic>
              </a:graphicData>
            </a:graphic>
          </wp:inline>
        </w:drawing>
      </w:r>
    </w:p>
    <w:p>
      <w:pPr>
        <w:spacing w:after="200"/>
        <w:jc w:val="center"/>
      </w:pPr>
      <w:r>
        <w:rPr>
          <w:rFonts w:ascii="Times New Roman" w:hAnsi="Times New Roman" w:cs="Times New Roman"/>
          <w:b w:val="0"/>
          <w:i/>
          <w:sz w:val="18"/>
        </w:rPr>
        <w:t>Figure 10. Confusion matrix of the random-forest fusion model under 5-fold cross-validation on real features.</w:t>
      </w:r>
    </w:p>
    <w:p>
      <w:pPr>
        <w:jc w:val="center"/>
      </w:pPr>
      <w:r>
        <w:drawing>
          <wp:inline xmlns:a="http://schemas.openxmlformats.org/drawingml/2006/main" xmlns:pic="http://schemas.openxmlformats.org/drawingml/2006/picture">
            <wp:extent cx="5486400" cy="3072384"/>
            <wp:docPr id="11" name="Picture 11"/>
            <wp:cNvGraphicFramePr>
              <a:graphicFrameLocks noChangeAspect="1"/>
            </wp:cNvGraphicFramePr>
            <a:graphic>
              <a:graphicData uri="http://schemas.openxmlformats.org/drawingml/2006/picture">
                <pic:pic>
                  <pic:nvPicPr>
                    <pic:cNvPr id="0" name="fig_fusion_ablation.png"/>
                    <pic:cNvPicPr/>
                  </pic:nvPicPr>
                  <pic:blipFill>
                    <a:blip r:embed="rId19"/>
                    <a:stretch>
                      <a:fillRect/>
                    </a:stretch>
                  </pic:blipFill>
                  <pic:spPr>
                    <a:xfrm>
                      <a:off x="0" y="0"/>
                      <a:ext cx="5486400" cy="3072384"/>
                    </a:xfrm>
                    <a:prstGeom prst="rect"/>
                  </pic:spPr>
                </pic:pic>
              </a:graphicData>
            </a:graphic>
          </wp:inline>
        </w:drawing>
      </w:r>
    </w:p>
    <w:p>
      <w:pPr>
        <w:spacing w:after="200"/>
        <w:jc w:val="center"/>
      </w:pPr>
      <w:r>
        <w:rPr>
          <w:rFonts w:ascii="Times New Roman" w:hAnsi="Times New Roman" w:cs="Times New Roman"/>
          <w:b w:val="0"/>
          <w:i/>
          <w:sz w:val="18"/>
        </w:rPr>
        <w:t>Figure 11. Leave-one-modality-out and only-one-modality ablation results.</w:t>
      </w:r>
    </w:p>
    <w:p>
      <w:pPr>
        <w:spacing w:before="160" w:after="80"/>
      </w:pPr>
      <w:r>
        <w:rPr>
          <w:rFonts w:ascii="Times New Roman" w:hAnsi="Times New Roman" w:cs="Times New Roman"/>
          <w:b/>
          <w:i w:val="0"/>
          <w:sz w:val="24"/>
        </w:rPr>
        <w:t>6.5 Latency, Memory, and Real-Time Feasibility</w:t>
      </w:r>
    </w:p>
    <w:p>
      <w:pPr>
        <w:spacing w:after="80" w:line="288" w:lineRule="auto"/>
      </w:pPr>
      <w:r>
        <w:rPr>
          <w:rFonts w:ascii="Times New Roman" w:hAnsi="Times New Roman" w:cs="Times New Roman"/>
          <w:b w:val="0"/>
          <w:i w:val="0"/>
          <w:sz w:val="22"/>
        </w:rPr>
        <w:t>Table 7 reports module-level latency on the Mac Studio M4 Max host. The visual subsystem is benchmarked in two configurations: (i) GPU/MPS acceleration as actually deployed in the prototype and (ii) CPU-only execution, which provides a conservative estimate for the low-end student-laptop scenario. Figure 12 (`fig_latency.png`) shows the bar chart for both configurations.</w:t>
      </w:r>
    </w:p>
    <w:p>
      <w:pPr>
        <w:spacing w:after="80" w:line="288" w:lineRule="auto"/>
      </w:pPr>
      <w:r>
        <w:rPr>
          <w:rFonts w:ascii="Times New Roman" w:hAnsi="Times New Roman" w:cs="Times New Roman"/>
          <w:b/>
          <w:i w:val="0"/>
          <w:sz w:val="22"/>
        </w:rPr>
        <w:t>Table 7. Inference latency on the Apple M4 Max host (mean ± SD, 80 calls after a 3-call warm-up).</w:t>
      </w:r>
    </w:p>
    <w:tbl>
      <w:tblPr>
        <w:tblStyle w:val="LightGrid-Accent1"/>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tcPr>
          <w:p>
            <w:r/>
            <w:r>
              <w:rPr>
                <w:rFonts w:ascii="Times New Roman" w:hAnsi="Times New Roman" w:cs="Times New Roman"/>
                <w:b/>
                <w:i w:val="0"/>
                <w:sz w:val="20"/>
              </w:rPr>
              <w:t>Component</w:t>
            </w:r>
          </w:p>
        </w:tc>
        <w:tc>
          <w:tcPr>
            <w:tcW w:type="dxa" w:w="1425"/>
            <w:vAlign w:val="center"/>
          </w:tcPr>
          <w:p>
            <w:r/>
            <w:r>
              <w:rPr>
                <w:rFonts w:ascii="Times New Roman" w:hAnsi="Times New Roman" w:cs="Times New Roman"/>
                <w:b/>
                <w:i w:val="0"/>
                <w:sz w:val="20"/>
              </w:rPr>
              <w:t>Configuration</w:t>
            </w:r>
          </w:p>
        </w:tc>
        <w:tc>
          <w:tcPr>
            <w:tcW w:type="dxa" w:w="1425"/>
            <w:vAlign w:val="center"/>
          </w:tcPr>
          <w:p>
            <w:r/>
            <w:r>
              <w:rPr>
                <w:rFonts w:ascii="Times New Roman" w:hAnsi="Times New Roman" w:cs="Times New Roman"/>
                <w:b/>
                <w:i w:val="0"/>
                <w:sz w:val="20"/>
              </w:rPr>
              <w:t>Mean (ms)</w:t>
            </w:r>
          </w:p>
        </w:tc>
        <w:tc>
          <w:tcPr>
            <w:tcW w:type="dxa" w:w="1425"/>
            <w:vAlign w:val="center"/>
          </w:tcPr>
          <w:p>
            <w:r/>
            <w:r>
              <w:rPr>
                <w:rFonts w:ascii="Times New Roman" w:hAnsi="Times New Roman" w:cs="Times New Roman"/>
                <w:b/>
                <w:i w:val="0"/>
                <w:sz w:val="20"/>
              </w:rPr>
              <w:t>SD (ms)</w:t>
            </w:r>
          </w:p>
        </w:tc>
        <w:tc>
          <w:tcPr>
            <w:tcW w:type="dxa" w:w="1425"/>
            <w:vAlign w:val="center"/>
          </w:tcPr>
          <w:p>
            <w:r/>
            <w:r>
              <w:rPr>
                <w:rFonts w:ascii="Times New Roman" w:hAnsi="Times New Roman" w:cs="Times New Roman"/>
                <w:b/>
                <w:i w:val="0"/>
                <w:sz w:val="20"/>
              </w:rPr>
              <w:t>Median</w:t>
            </w:r>
          </w:p>
        </w:tc>
        <w:tc>
          <w:tcPr>
            <w:tcW w:type="dxa" w:w="1425"/>
            <w:vAlign w:val="center"/>
          </w:tcPr>
          <w:p>
            <w:r/>
            <w:r>
              <w:rPr>
                <w:rFonts w:ascii="Times New Roman" w:hAnsi="Times New Roman" w:cs="Times New Roman"/>
                <w:b/>
                <w:i w:val="0"/>
                <w:sz w:val="20"/>
              </w:rPr>
              <w:t>p95</w:t>
            </w:r>
          </w:p>
        </w:tc>
        <w:tc>
          <w:tcPr>
            <w:tcW w:type="dxa" w:w="1425"/>
            <w:vAlign w:val="center"/>
          </w:tcPr>
          <w:p>
            <w:r/>
            <w:r>
              <w:rPr>
                <w:rFonts w:ascii="Times New Roman" w:hAnsi="Times New Roman" w:cs="Times New Roman"/>
                <w:b/>
                <w:i w:val="0"/>
                <w:sz w:val="20"/>
              </w:rPr>
              <w:t>p99</w:t>
            </w:r>
          </w:p>
        </w:tc>
      </w:tr>
      <w:tr>
        <w:tc>
          <w:tcPr>
            <w:tcW w:type="dxa" w:w="1425"/>
            <w:vAlign w:val="center"/>
          </w:tcPr>
          <w:p>
            <w:r/>
            <w:r>
              <w:rPr>
                <w:rFonts w:ascii="Times New Roman" w:hAnsi="Times New Roman" w:cs="Times New Roman"/>
                <w:b w:val="0"/>
                <w:i w:val="0"/>
                <w:sz w:val="20"/>
              </w:rPr>
              <w:t>YOLOv8-s (640×480 frame)</w:t>
            </w:r>
          </w:p>
        </w:tc>
        <w:tc>
          <w:tcPr>
            <w:tcW w:type="dxa" w:w="1425"/>
            <w:vAlign w:val="center"/>
          </w:tcPr>
          <w:p>
            <w:r/>
            <w:r>
              <w:rPr>
                <w:rFonts w:ascii="Times New Roman" w:hAnsi="Times New Roman" w:cs="Times New Roman"/>
                <w:b w:val="0"/>
                <w:i w:val="0"/>
                <w:sz w:val="20"/>
              </w:rPr>
              <w:t>MPS (GPU)</w:t>
            </w:r>
          </w:p>
        </w:tc>
        <w:tc>
          <w:tcPr>
            <w:tcW w:type="dxa" w:w="1425"/>
            <w:vAlign w:val="center"/>
          </w:tcPr>
          <w:p>
            <w:r/>
            <w:r>
              <w:rPr>
                <w:rFonts w:ascii="Times New Roman" w:hAnsi="Times New Roman" w:cs="Times New Roman"/>
                <w:b w:val="0"/>
                <w:i w:val="0"/>
                <w:sz w:val="20"/>
              </w:rPr>
              <w:t>29.4</w:t>
            </w:r>
          </w:p>
        </w:tc>
        <w:tc>
          <w:tcPr>
            <w:tcW w:type="dxa" w:w="1425"/>
            <w:vAlign w:val="center"/>
          </w:tcPr>
          <w:p>
            <w:r/>
            <w:r>
              <w:rPr>
                <w:rFonts w:ascii="Times New Roman" w:hAnsi="Times New Roman" w:cs="Times New Roman"/>
                <w:b w:val="0"/>
                <w:i w:val="0"/>
                <w:sz w:val="20"/>
              </w:rPr>
              <w:t>3.0</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r>
      <w:tr>
        <w:tc>
          <w:tcPr>
            <w:tcW w:type="dxa" w:w="1425"/>
            <w:vAlign w:val="center"/>
          </w:tcPr>
          <w:p>
            <w:r/>
            <w:r>
              <w:rPr>
                <w:rFonts w:ascii="Times New Roman" w:hAnsi="Times New Roman" w:cs="Times New Roman"/>
                <w:b w:val="0"/>
                <w:i w:val="0"/>
                <w:sz w:val="20"/>
              </w:rPr>
              <w:t>YOLOv8-s (640×480 frame)</w:t>
            </w:r>
          </w:p>
        </w:tc>
        <w:tc>
          <w:tcPr>
            <w:tcW w:type="dxa" w:w="1425"/>
            <w:vAlign w:val="center"/>
          </w:tcPr>
          <w:p>
            <w:r/>
            <w:r>
              <w:rPr>
                <w:rFonts w:ascii="Times New Roman" w:hAnsi="Times New Roman" w:cs="Times New Roman"/>
                <w:b w:val="0"/>
                <w:i w:val="0"/>
                <w:sz w:val="20"/>
              </w:rPr>
              <w:t>CPU only</w:t>
            </w:r>
          </w:p>
        </w:tc>
        <w:tc>
          <w:tcPr>
            <w:tcW w:type="dxa" w:w="1425"/>
            <w:vAlign w:val="center"/>
          </w:tcPr>
          <w:p>
            <w:r/>
            <w:r>
              <w:rPr>
                <w:rFonts w:ascii="Times New Roman" w:hAnsi="Times New Roman" w:cs="Times New Roman"/>
                <w:b w:val="0"/>
                <w:i w:val="0"/>
                <w:sz w:val="20"/>
              </w:rPr>
              <w:t>28.9</w:t>
            </w:r>
          </w:p>
        </w:tc>
        <w:tc>
          <w:tcPr>
            <w:tcW w:type="dxa" w:w="1425"/>
            <w:vAlign w:val="center"/>
          </w:tcPr>
          <w:p>
            <w:r/>
            <w:r>
              <w:rPr>
                <w:rFonts w:ascii="Times New Roman" w:hAnsi="Times New Roman" w:cs="Times New Roman"/>
                <w:b w:val="0"/>
                <w:i w:val="0"/>
                <w:sz w:val="20"/>
              </w:rPr>
              <w:t>1.0</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r>
      <w:tr>
        <w:tc>
          <w:tcPr>
            <w:tcW w:type="dxa" w:w="1425"/>
            <w:vAlign w:val="center"/>
          </w:tcPr>
          <w:p>
            <w:r/>
            <w:r>
              <w:rPr>
                <w:rFonts w:ascii="Times New Roman" w:hAnsi="Times New Roman" w:cs="Times New Roman"/>
                <w:b w:val="0"/>
                <w:i w:val="0"/>
                <w:sz w:val="20"/>
              </w:rPr>
              <w:t>MediaPipe behaviour (per landmark set)</w:t>
            </w:r>
          </w:p>
        </w:tc>
        <w:tc>
          <w:tcPr>
            <w:tcW w:type="dxa" w:w="1425"/>
            <w:vAlign w:val="center"/>
          </w:tcPr>
          <w:p>
            <w:r/>
            <w:r>
              <w:rPr>
                <w:rFonts w:ascii="Times New Roman" w:hAnsi="Times New Roman" w:cs="Times New Roman"/>
                <w:b w:val="0"/>
                <w:i w:val="0"/>
                <w:sz w:val="20"/>
              </w:rPr>
              <w:t>CPU</w:t>
            </w:r>
          </w:p>
        </w:tc>
        <w:tc>
          <w:tcPr>
            <w:tcW w:type="dxa" w:w="1425"/>
            <w:vAlign w:val="center"/>
          </w:tcPr>
          <w:p>
            <w:r/>
            <w:r>
              <w:rPr>
                <w:rFonts w:ascii="Times New Roman" w:hAnsi="Times New Roman" w:cs="Times New Roman"/>
                <w:b w:val="0"/>
                <w:i w:val="0"/>
                <w:sz w:val="20"/>
              </w:rPr>
              <w:t>0.030</w:t>
            </w:r>
          </w:p>
        </w:tc>
        <w:tc>
          <w:tcPr>
            <w:tcW w:type="dxa" w:w="1425"/>
            <w:vAlign w:val="center"/>
          </w:tcPr>
          <w:p>
            <w:r/>
            <w:r>
              <w:rPr>
                <w:rFonts w:ascii="Times New Roman" w:hAnsi="Times New Roman" w:cs="Times New Roman"/>
                <w:b w:val="0"/>
                <w:i w:val="0"/>
                <w:sz w:val="20"/>
              </w:rPr>
              <w:t>0.012</w:t>
            </w:r>
          </w:p>
        </w:tc>
        <w:tc>
          <w:tcPr>
            <w:tcW w:type="dxa" w:w="1425"/>
            <w:vAlign w:val="center"/>
          </w:tcPr>
          <w:p>
            <w:r/>
            <w:r>
              <w:rPr>
                <w:rFonts w:ascii="Times New Roman" w:hAnsi="Times New Roman" w:cs="Times New Roman"/>
                <w:b w:val="0"/>
                <w:i w:val="0"/>
                <w:sz w:val="20"/>
              </w:rPr>
              <w:t>0.028</w:t>
            </w:r>
          </w:p>
        </w:tc>
        <w:tc>
          <w:tcPr>
            <w:tcW w:type="dxa" w:w="1425"/>
            <w:vAlign w:val="center"/>
          </w:tcPr>
          <w:p>
            <w:r/>
            <w:r>
              <w:rPr>
                <w:rFonts w:ascii="Times New Roman" w:hAnsi="Times New Roman" w:cs="Times New Roman"/>
                <w:b w:val="0"/>
                <w:i w:val="0"/>
                <w:sz w:val="20"/>
              </w:rPr>
              <w:t>0.034</w:t>
            </w:r>
          </w:p>
        </w:tc>
        <w:tc>
          <w:tcPr>
            <w:tcW w:type="dxa" w:w="1425"/>
            <w:vAlign w:val="center"/>
          </w:tcPr>
          <w:p>
            <w:r/>
            <w:r>
              <w:rPr>
                <w:rFonts w:ascii="Times New Roman" w:hAnsi="Times New Roman" w:cs="Times New Roman"/>
                <w:b w:val="0"/>
                <w:i w:val="0"/>
                <w:sz w:val="20"/>
              </w:rPr>
              <w:t>0.076</w:t>
            </w:r>
          </w:p>
        </w:tc>
      </w:tr>
      <w:tr>
        <w:tc>
          <w:tcPr>
            <w:tcW w:type="dxa" w:w="1425"/>
            <w:vAlign w:val="center"/>
          </w:tcPr>
          <w:p>
            <w:r/>
            <w:r>
              <w:rPr>
                <w:rFonts w:ascii="Times New Roman" w:hAnsi="Times New Roman" w:cs="Times New Roman"/>
                <w:b w:val="0"/>
                <w:i w:val="0"/>
                <w:sz w:val="20"/>
              </w:rPr>
              <w:t>Whisper-Base encoder (5-s buffer)</w:t>
            </w:r>
          </w:p>
        </w:tc>
        <w:tc>
          <w:tcPr>
            <w:tcW w:type="dxa" w:w="1425"/>
            <w:vAlign w:val="center"/>
          </w:tcPr>
          <w:p>
            <w:r/>
            <w:r>
              <w:rPr>
                <w:rFonts w:ascii="Times New Roman" w:hAnsi="Times New Roman" w:cs="Times New Roman"/>
                <w:b w:val="0"/>
                <w:i w:val="0"/>
                <w:sz w:val="20"/>
              </w:rPr>
              <w:t>CPU</w:t>
            </w:r>
          </w:p>
        </w:tc>
        <w:tc>
          <w:tcPr>
            <w:tcW w:type="dxa" w:w="1425"/>
            <w:vAlign w:val="center"/>
          </w:tcPr>
          <w:p>
            <w:r/>
            <w:r>
              <w:rPr>
                <w:rFonts w:ascii="Times New Roman" w:hAnsi="Times New Roman" w:cs="Times New Roman"/>
                <w:b w:val="0"/>
                <w:i w:val="0"/>
                <w:sz w:val="20"/>
              </w:rPr>
              <w:t>83.6</w:t>
            </w:r>
          </w:p>
        </w:tc>
        <w:tc>
          <w:tcPr>
            <w:tcW w:type="dxa" w:w="1425"/>
            <w:vAlign w:val="center"/>
          </w:tcPr>
          <w:p>
            <w:r/>
            <w:r>
              <w:rPr>
                <w:rFonts w:ascii="Times New Roman" w:hAnsi="Times New Roman" w:cs="Times New Roman"/>
                <w:b w:val="0"/>
                <w:i w:val="0"/>
                <w:sz w:val="20"/>
              </w:rPr>
              <w:t>5.7</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r>
      <w:tr>
        <w:tc>
          <w:tcPr>
            <w:tcW w:type="dxa" w:w="1425"/>
            <w:vAlign w:val="center"/>
          </w:tcPr>
          <w:p>
            <w:r/>
            <w:r>
              <w:rPr>
                <w:rFonts w:ascii="Times New Roman" w:hAnsi="Times New Roman" w:cs="Times New Roman"/>
                <w:b w:val="0"/>
                <w:i w:val="0"/>
                <w:sz w:val="20"/>
              </w:rPr>
              <w:t>Whisper-Base (per-frame equivalent at 5 FPS)</w:t>
            </w:r>
          </w:p>
        </w:tc>
        <w:tc>
          <w:tcPr>
            <w:tcW w:type="dxa" w:w="1425"/>
            <w:vAlign w:val="center"/>
          </w:tcPr>
          <w:p>
            <w:r/>
            <w:r>
              <w:rPr>
                <w:rFonts w:ascii="Times New Roman" w:hAnsi="Times New Roman" w:cs="Times New Roman"/>
                <w:b w:val="0"/>
                <w:i w:val="0"/>
                <w:sz w:val="20"/>
              </w:rPr>
              <w:t>CPU</w:t>
            </w:r>
          </w:p>
        </w:tc>
        <w:tc>
          <w:tcPr>
            <w:tcW w:type="dxa" w:w="1425"/>
            <w:vAlign w:val="center"/>
          </w:tcPr>
          <w:p>
            <w:r/>
            <w:r>
              <w:rPr>
                <w:rFonts w:ascii="Times New Roman" w:hAnsi="Times New Roman" w:cs="Times New Roman"/>
                <w:b w:val="0"/>
                <w:i w:val="0"/>
                <w:sz w:val="20"/>
              </w:rPr>
              <w:t>16.7</w:t>
            </w:r>
          </w:p>
        </w:tc>
        <w:tc>
          <w:tcPr>
            <w:tcW w:type="dxa" w:w="1425"/>
            <w:vAlign w:val="center"/>
          </w:tcPr>
          <w:p>
            <w:r/>
            <w:r>
              <w:rPr>
                <w:rFonts w:ascii="Times New Roman" w:hAnsi="Times New Roman" w:cs="Times New Roman"/>
                <w:b w:val="0"/>
                <w:i w:val="0"/>
                <w:sz w:val="20"/>
              </w:rPr>
              <w:t>1.1</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r>
      <w:tr>
        <w:tc>
          <w:tcPr>
            <w:tcW w:type="dxa" w:w="1425"/>
            <w:vAlign w:val="center"/>
          </w:tcPr>
          <w:p>
            <w:r/>
            <w:r>
              <w:rPr>
                <w:rFonts w:ascii="Times New Roman" w:hAnsi="Times New Roman" w:cs="Times New Roman"/>
                <w:b w:val="0"/>
                <w:i w:val="0"/>
                <w:sz w:val="20"/>
              </w:rPr>
              <w:t>Fusion (random forest, single event)</w:t>
            </w:r>
          </w:p>
        </w:tc>
        <w:tc>
          <w:tcPr>
            <w:tcW w:type="dxa" w:w="1425"/>
            <w:vAlign w:val="center"/>
          </w:tcPr>
          <w:p>
            <w:r/>
            <w:r>
              <w:rPr>
                <w:rFonts w:ascii="Times New Roman" w:hAnsi="Times New Roman" w:cs="Times New Roman"/>
                <w:b w:val="0"/>
                <w:i w:val="0"/>
                <w:sz w:val="20"/>
              </w:rPr>
              <w:t>CPU</w:t>
            </w:r>
          </w:p>
        </w:tc>
        <w:tc>
          <w:tcPr>
            <w:tcW w:type="dxa" w:w="1425"/>
            <w:vAlign w:val="center"/>
          </w:tcPr>
          <w:p>
            <w:r/>
            <w:r>
              <w:rPr>
                <w:rFonts w:ascii="Times New Roman" w:hAnsi="Times New Roman" w:cs="Times New Roman"/>
                <w:b w:val="0"/>
                <w:i w:val="0"/>
                <w:sz w:val="20"/>
              </w:rPr>
              <w:t>4.4</w:t>
            </w:r>
          </w:p>
        </w:tc>
        <w:tc>
          <w:tcPr>
            <w:tcW w:type="dxa" w:w="1425"/>
            <w:vAlign w:val="center"/>
          </w:tcPr>
          <w:p>
            <w:r/>
            <w:r>
              <w:rPr>
                <w:rFonts w:ascii="Times New Roman" w:hAnsi="Times New Roman" w:cs="Times New Roman"/>
                <w:b w:val="0"/>
                <w:i w:val="0"/>
                <w:sz w:val="20"/>
              </w:rPr>
              <w:t>0.4</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r>
      <w:tr>
        <w:tc>
          <w:tcPr>
            <w:tcW w:type="dxa" w:w="1425"/>
            <w:vAlign w:val="center"/>
          </w:tcPr>
          <w:p>
            <w:r/>
            <w:r>
              <w:rPr>
                <w:rFonts w:ascii="Times New Roman" w:hAnsi="Times New Roman" w:cs="Times New Roman"/>
                <w:b/>
                <w:i w:val="0"/>
                <w:sz w:val="20"/>
              </w:rPr>
              <w:t>End-to-end frame budget</w:t>
            </w:r>
          </w:p>
        </w:tc>
        <w:tc>
          <w:tcPr>
            <w:tcW w:type="dxa" w:w="1425"/>
            <w:vAlign w:val="center"/>
          </w:tcPr>
          <w:p>
            <w:r/>
            <w:r>
              <w:rPr>
                <w:rFonts w:ascii="Times New Roman" w:hAnsi="Times New Roman" w:cs="Times New Roman"/>
                <w:b w:val="0"/>
                <w:i w:val="0"/>
                <w:sz w:val="20"/>
              </w:rPr>
              <w:t>MPS</w:t>
            </w:r>
          </w:p>
        </w:tc>
        <w:tc>
          <w:tcPr>
            <w:tcW w:type="dxa" w:w="1425"/>
            <w:vAlign w:val="center"/>
          </w:tcPr>
          <w:p>
            <w:r/>
            <w:r>
              <w:rPr>
                <w:rFonts w:ascii="Times New Roman" w:hAnsi="Times New Roman" w:cs="Times New Roman"/>
                <w:b/>
                <w:i w:val="0"/>
                <w:sz w:val="20"/>
              </w:rPr>
              <w:t>33.8</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r>
      <w:tr>
        <w:tc>
          <w:tcPr>
            <w:tcW w:type="dxa" w:w="1425"/>
            <w:vAlign w:val="center"/>
          </w:tcPr>
          <w:p>
            <w:r/>
            <w:r>
              <w:rPr>
                <w:rFonts w:ascii="Times New Roman" w:hAnsi="Times New Roman" w:cs="Times New Roman"/>
                <w:b/>
                <w:i w:val="0"/>
                <w:sz w:val="20"/>
              </w:rPr>
              <w:t>End-to-end frame budget</w:t>
            </w:r>
          </w:p>
        </w:tc>
        <w:tc>
          <w:tcPr>
            <w:tcW w:type="dxa" w:w="1425"/>
            <w:vAlign w:val="center"/>
          </w:tcPr>
          <w:p>
            <w:r/>
            <w:r>
              <w:rPr>
                <w:rFonts w:ascii="Times New Roman" w:hAnsi="Times New Roman" w:cs="Times New Roman"/>
                <w:b w:val="0"/>
                <w:i w:val="0"/>
                <w:sz w:val="20"/>
              </w:rPr>
              <w:t>CPU only</w:t>
            </w:r>
          </w:p>
        </w:tc>
        <w:tc>
          <w:tcPr>
            <w:tcW w:type="dxa" w:w="1425"/>
            <w:vAlign w:val="center"/>
          </w:tcPr>
          <w:p>
            <w:r/>
            <w:r>
              <w:rPr>
                <w:rFonts w:ascii="Times New Roman" w:hAnsi="Times New Roman" w:cs="Times New Roman"/>
                <w:b/>
                <w:i w:val="0"/>
                <w:sz w:val="20"/>
              </w:rPr>
              <w:t>33.3</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r>
      <w:tr>
        <w:tc>
          <w:tcPr>
            <w:tcW w:type="dxa" w:w="1425"/>
            <w:vAlign w:val="center"/>
          </w:tcPr>
          <w:p>
            <w:r/>
            <w:r>
              <w:rPr>
                <w:rFonts w:ascii="Times New Roman" w:hAnsi="Times New Roman" w:cs="Times New Roman"/>
                <w:b/>
                <w:i w:val="0"/>
                <w:sz w:val="20"/>
              </w:rPr>
              <w:t>Maximum sustainable FPS</w:t>
            </w:r>
          </w:p>
        </w:tc>
        <w:tc>
          <w:tcPr>
            <w:tcW w:type="dxa" w:w="1425"/>
            <w:vAlign w:val="center"/>
          </w:tcPr>
          <w:p>
            <w:r/>
            <w:r>
              <w:rPr>
                <w:rFonts w:ascii="Times New Roman" w:hAnsi="Times New Roman" w:cs="Times New Roman"/>
                <w:b w:val="0"/>
                <w:i w:val="0"/>
                <w:sz w:val="20"/>
              </w:rPr>
              <w:t>MPS</w:t>
            </w:r>
          </w:p>
        </w:tc>
        <w:tc>
          <w:tcPr>
            <w:tcW w:type="dxa" w:w="1425"/>
            <w:vAlign w:val="center"/>
          </w:tcPr>
          <w:p>
            <w:r/>
            <w:r>
              <w:rPr>
                <w:rFonts w:ascii="Times New Roman" w:hAnsi="Times New Roman" w:cs="Times New Roman"/>
                <w:b/>
                <w:i w:val="0"/>
                <w:sz w:val="20"/>
              </w:rPr>
              <w:t>29.5</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r>
      <w:tr>
        <w:tc>
          <w:tcPr>
            <w:tcW w:type="dxa" w:w="1425"/>
            <w:vAlign w:val="center"/>
          </w:tcPr>
          <w:p>
            <w:r/>
            <w:r>
              <w:rPr>
                <w:rFonts w:ascii="Times New Roman" w:hAnsi="Times New Roman" w:cs="Times New Roman"/>
                <w:b/>
                <w:i w:val="0"/>
                <w:sz w:val="20"/>
              </w:rPr>
              <w:t>Maximum sustainable FPS</w:t>
            </w:r>
          </w:p>
        </w:tc>
        <w:tc>
          <w:tcPr>
            <w:tcW w:type="dxa" w:w="1425"/>
            <w:vAlign w:val="center"/>
          </w:tcPr>
          <w:p>
            <w:r/>
            <w:r>
              <w:rPr>
                <w:rFonts w:ascii="Times New Roman" w:hAnsi="Times New Roman" w:cs="Times New Roman"/>
                <w:b w:val="0"/>
                <w:i w:val="0"/>
                <w:sz w:val="20"/>
              </w:rPr>
              <w:t>CPU only</w:t>
            </w:r>
          </w:p>
        </w:tc>
        <w:tc>
          <w:tcPr>
            <w:tcW w:type="dxa" w:w="1425"/>
            <w:vAlign w:val="center"/>
          </w:tcPr>
          <w:p>
            <w:r/>
            <w:r>
              <w:rPr>
                <w:rFonts w:ascii="Times New Roman" w:hAnsi="Times New Roman" w:cs="Times New Roman"/>
                <w:b/>
                <w:i w:val="0"/>
                <w:sz w:val="20"/>
              </w:rPr>
              <w:t>30.0</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c>
          <w:tcPr>
            <w:tcW w:type="dxa" w:w="1425"/>
            <w:vAlign w:val="center"/>
          </w:tcPr>
          <w:p>
            <w:r/>
            <w:r>
              <w:rPr>
                <w:rFonts w:ascii="Times New Roman" w:hAnsi="Times New Roman" w:cs="Times New Roman"/>
                <w:b w:val="0"/>
                <w:i w:val="0"/>
                <w:sz w:val="20"/>
              </w:rPr>
              <w:t>—</w:t>
            </w:r>
          </w:p>
        </w:tc>
      </w:tr>
    </w:tbl>
    <w:p>
      <w:pPr>
        <w:spacing w:after="160"/>
      </w:pPr>
    </w:p>
    <w:p>
      <w:pPr>
        <w:spacing w:after="80" w:line="288" w:lineRule="auto"/>
      </w:pPr>
      <w:r>
        <w:rPr>
          <w:rFonts w:ascii="Times New Roman" w:hAnsi="Times New Roman" w:cs="Times New Roman"/>
          <w:b w:val="0"/>
          <w:i w:val="0"/>
          <w:sz w:val="22"/>
        </w:rPr>
        <w:t>Peak resident memory is 1,075 MB. An interesting observation is that, at batch size 1 and image size 640×480, CPU and MPS perform almost identically on the M4 Max (28.9 ms vs. 29.4 ms): the per-call host-device transfer overhead dominates the small kernel run time. The framework therefore supports real-time monitoring (≥ 30 FPS) even when MPS is unavailable. The end-to-end frame budget is bounded by the visual subsystem; the acoustic subsystem runs once per 5-second buffer and therefore contributes only 16.7 ms per logical frame when amortised over its window.</w:t>
      </w:r>
    </w:p>
    <w:p>
      <w:pPr>
        <w:jc w:val="center"/>
      </w:pPr>
      <w:r>
        <w:drawing>
          <wp:inline xmlns:a="http://schemas.openxmlformats.org/drawingml/2006/main" xmlns:pic="http://schemas.openxmlformats.org/drawingml/2006/picture">
            <wp:extent cx="5486400" cy="2795847"/>
            <wp:docPr id="12" name="Picture 12"/>
            <wp:cNvGraphicFramePr>
              <a:graphicFrameLocks noChangeAspect="1"/>
            </wp:cNvGraphicFramePr>
            <a:graphic>
              <a:graphicData uri="http://schemas.openxmlformats.org/drawingml/2006/picture">
                <pic:pic>
                  <pic:nvPicPr>
                    <pic:cNvPr id="0" name="fig_latency.png"/>
                    <pic:cNvPicPr/>
                  </pic:nvPicPr>
                  <pic:blipFill>
                    <a:blip r:embed="rId20"/>
                    <a:stretch>
                      <a:fillRect/>
                    </a:stretch>
                  </pic:blipFill>
                  <pic:spPr>
                    <a:xfrm>
                      <a:off x="0" y="0"/>
                      <a:ext cx="5486400" cy="2795847"/>
                    </a:xfrm>
                    <a:prstGeom prst="rect"/>
                  </pic:spPr>
                </pic:pic>
              </a:graphicData>
            </a:graphic>
          </wp:inline>
        </w:drawing>
      </w:r>
    </w:p>
    <w:p>
      <w:pPr>
        <w:spacing w:after="200"/>
        <w:jc w:val="center"/>
      </w:pPr>
      <w:r>
        <w:rPr>
          <w:rFonts w:ascii="Times New Roman" w:hAnsi="Times New Roman" w:cs="Times New Roman"/>
          <w:b w:val="0"/>
          <w:i/>
          <w:sz w:val="18"/>
        </w:rPr>
        <w:t>Figure 12. Per-module inference latency on the Apple M4 Max host (Mac Studio, 14-core CPU, 32-core integrated GPU, 36 GB unified memory) with both MPS GPU acceleration and CPU-only configurations.</w:t>
      </w:r>
    </w:p>
    <w:p>
      <w:pPr>
        <w:spacing w:before="160" w:after="80"/>
      </w:pPr>
      <w:r>
        <w:rPr>
          <w:rFonts w:ascii="Times New Roman" w:hAnsi="Times New Roman" w:cs="Times New Roman"/>
          <w:b/>
          <w:i w:val="0"/>
          <w:sz w:val="24"/>
        </w:rPr>
        <w:t>6.6 Robustness</w:t>
      </w:r>
    </w:p>
    <w:p>
      <w:pPr>
        <w:spacing w:after="80" w:line="288" w:lineRule="auto"/>
      </w:pPr>
      <w:r>
        <w:rPr>
          <w:rFonts w:ascii="Times New Roman" w:hAnsi="Times New Roman" w:cs="Times New Roman"/>
          <w:b w:val="0"/>
          <w:i w:val="0"/>
          <w:sz w:val="22"/>
        </w:rPr>
        <w:t>Figure 13 shows the degradation curves. Visual class-presence recall on the COCO subset stays within 60–74% across gamma values from 0.4 (very dark) to 1.6 (very bright); the recall drops most sharply when the scale factor falls below 0.7 (≈ a more distant camera placement), reaching 60% at scale 0.5. For the acoustic module evaluated on LibriSpeech two-speaker mixes corrupted by additive white Gaussian noise, the mean secondary-speaker probability on positive clips stays strictly above the negative-clip mean across all SNRs from +30 dB down to +0 dB (0.69 vs 0.61 at SNR = 30 dB and 0.43 vs 0.40 at 0 dB), and the F1 at the calibrated operational threshold of 0.02 stays in the range 0.66–0.68. At SNR = −5 dB the positive and negative score distributions overlap (0.17 vs 0.20) and the detector should be considered unreliable. The recommended operating envelope is therefore gamma ∈ [0.6, 1.4], scale ≥ 0.7, and ambient SNR ≥ 0 dB. The fact that ROC AUC on noisy speech is close to chance even when F1 is well-defined indicates that the score distribution becomes bimodal under heavy noise — a few real two-speaker clips lose pitch fluctuation entirely while a few single-speaker clips are perturbed enough to exceed the threshold — so we recommend reading the F1 column rather than AUC under noisy conditions.</w:t>
      </w:r>
    </w:p>
    <w:p>
      <w:pPr>
        <w:jc w:val="center"/>
      </w:pPr>
      <w:r>
        <w:drawing>
          <wp:inline xmlns:a="http://schemas.openxmlformats.org/drawingml/2006/main" xmlns:pic="http://schemas.openxmlformats.org/drawingml/2006/picture">
            <wp:extent cx="5486400" cy="1724297"/>
            <wp:docPr id="13" name="Picture 13"/>
            <wp:cNvGraphicFramePr>
              <a:graphicFrameLocks noChangeAspect="1"/>
            </wp:cNvGraphicFramePr>
            <a:graphic>
              <a:graphicData uri="http://schemas.openxmlformats.org/drawingml/2006/picture">
                <pic:pic>
                  <pic:nvPicPr>
                    <pic:cNvPr id="0" name="fig_robustness.png"/>
                    <pic:cNvPicPr/>
                  </pic:nvPicPr>
                  <pic:blipFill>
                    <a:blip r:embed="rId21"/>
                    <a:stretch>
                      <a:fillRect/>
                    </a:stretch>
                  </pic:blipFill>
                  <pic:spPr>
                    <a:xfrm>
                      <a:off x="0" y="0"/>
                      <a:ext cx="5486400" cy="1724297"/>
                    </a:xfrm>
                    <a:prstGeom prst="rect"/>
                  </pic:spPr>
                </pic:pic>
              </a:graphicData>
            </a:graphic>
          </wp:inline>
        </w:drawing>
      </w:r>
    </w:p>
    <w:p>
      <w:pPr>
        <w:spacing w:after="200"/>
        <w:jc w:val="center"/>
      </w:pPr>
      <w:r>
        <w:rPr>
          <w:rFonts w:ascii="Times New Roman" w:hAnsi="Times New Roman" w:cs="Times New Roman"/>
          <w:b w:val="0"/>
          <w:i/>
          <w:sz w:val="18"/>
        </w:rPr>
        <w:t>Figure 13. Robustness study: class-presence recall versus gamma and scale for the visual subsystem, and F1 plus score distributions versus SNR for the acoustic subsystem under real LibriSpeech noise injection.</w:t>
      </w:r>
    </w:p>
    <w:p>
      <w:pPr>
        <w:spacing w:before="160" w:after="80"/>
      </w:pPr>
      <w:r>
        <w:rPr>
          <w:rFonts w:ascii="Times New Roman" w:hAnsi="Times New Roman" w:cs="Times New Roman"/>
          <w:b/>
          <w:i w:val="0"/>
          <w:sz w:val="24"/>
        </w:rPr>
        <w:t>6.7 Adversarial Privacy Verification</w:t>
      </w:r>
    </w:p>
    <w:p>
      <w:pPr>
        <w:spacing w:after="80" w:line="288" w:lineRule="auto"/>
      </w:pPr>
      <w:r>
        <w:rPr>
          <w:rFonts w:ascii="Times New Roman" w:hAnsi="Times New Roman" w:cs="Times New Roman"/>
          <w:b w:val="0"/>
          <w:i w:val="0"/>
          <w:sz w:val="22"/>
        </w:rPr>
        <w:t>Figure 14 summarizes the adversarial study. We use 30 real LibriSpeech `dev-clean` speakers as candidates, with 10 utterances per speaker (300 trials in total):</w:t>
      </w:r>
    </w:p>
    <w:p>
      <w:pPr>
        <w:pStyle w:val="ListBullet"/>
      </w:pPr>
      <w:r>
        <w:rPr>
          <w:rFonts w:ascii="Times New Roman" w:hAnsi="Times New Roman" w:cs="Times New Roman"/>
          <w:b w:val="0"/>
          <w:i w:val="0"/>
          <w:sz w:val="22"/>
        </w:rPr>
        <w:t xml:space="preserve">A raw-audio attacker that extracts mel-frequency cepstral coefficients from the raw 16 kHz audio buffer (the kind of artefact a conventional proctoring system would retain) achieves a re-identification AUC of </w:t>
      </w:r>
      <w:r>
        <w:rPr>
          <w:rFonts w:ascii="Times New Roman" w:hAnsi="Times New Roman" w:cs="Times New Roman"/>
          <w:b/>
          <w:i w:val="0"/>
          <w:sz w:val="22"/>
        </w:rPr>
        <w:t>0.994 ± 0.006</w:t>
      </w:r>
      <w:r>
        <w:rPr>
          <w:rFonts w:ascii="Times New Roman" w:hAnsi="Times New Roman" w:cs="Times New Roman"/>
          <w:b w:val="0"/>
          <w:i w:val="0"/>
          <w:sz w:val="22"/>
        </w:rPr>
        <w:t>, confirming that raw recordings of real speakers do allow near-perfect identification.</w:t>
      </w:r>
    </w:p>
    <w:p>
      <w:pPr>
        <w:pStyle w:val="ListBullet"/>
      </w:pPr>
      <w:r>
        <w:rPr>
          <w:rFonts w:ascii="Times New Roman" w:hAnsi="Times New Roman" w:cs="Times New Roman"/>
          <w:b w:val="0"/>
          <w:i w:val="0"/>
          <w:sz w:val="22"/>
        </w:rPr>
        <w:t xml:space="preserve">A metadata-only attacker using the same classifier on the event log emitted by the proposed system achieves an AUC of </w:t>
      </w:r>
      <w:r>
        <w:rPr>
          <w:rFonts w:ascii="Times New Roman" w:hAnsi="Times New Roman" w:cs="Times New Roman"/>
          <w:b/>
          <w:i w:val="0"/>
          <w:sz w:val="22"/>
        </w:rPr>
        <w:t>0.478 ± 0.030</w:t>
      </w:r>
      <w:r>
        <w:rPr>
          <w:rFonts w:ascii="Times New Roman" w:hAnsi="Times New Roman" w:cs="Times New Roman"/>
          <w:b w:val="0"/>
          <w:i w:val="0"/>
          <w:sz w:val="22"/>
        </w:rPr>
        <w:t>, statistically indistinguishable from the 0.5 chance level.</w:t>
      </w:r>
    </w:p>
    <w:p>
      <w:pPr>
        <w:spacing w:after="80" w:line="288" w:lineRule="auto"/>
      </w:pPr>
      <w:r>
        <w:rPr>
          <w:rFonts w:ascii="Times New Roman" w:hAnsi="Times New Roman" w:cs="Times New Roman"/>
          <w:b w:val="0"/>
          <w:i w:val="0"/>
          <w:sz w:val="22"/>
        </w:rPr>
        <w:t>This is, to the best of our knowledge, the strongest empirical privacy claim made in the proctoring literature on real-speaker data. Combined with the absence of biometric template storage and raw-media retention (Section 3), it grounds the privacy claim in measurable evidence rather than design assertions.</w:t>
      </w:r>
    </w:p>
    <w:p>
      <w:pPr>
        <w:jc w:val="center"/>
      </w:pPr>
      <w:r>
        <w:drawing>
          <wp:inline xmlns:a="http://schemas.openxmlformats.org/drawingml/2006/main" xmlns:pic="http://schemas.openxmlformats.org/drawingml/2006/picture">
            <wp:extent cx="5486400" cy="3545058"/>
            <wp:docPr id="14" name="Picture 14"/>
            <wp:cNvGraphicFramePr>
              <a:graphicFrameLocks noChangeAspect="1"/>
            </wp:cNvGraphicFramePr>
            <a:graphic>
              <a:graphicData uri="http://schemas.openxmlformats.org/drawingml/2006/picture">
                <pic:pic>
                  <pic:nvPicPr>
                    <pic:cNvPr id="0" name="fig_privacy.png"/>
                    <pic:cNvPicPr/>
                  </pic:nvPicPr>
                  <pic:blipFill>
                    <a:blip r:embed="rId22"/>
                    <a:stretch>
                      <a:fillRect/>
                    </a:stretch>
                  </pic:blipFill>
                  <pic:spPr>
                    <a:xfrm>
                      <a:off x="0" y="0"/>
                      <a:ext cx="5486400" cy="3545058"/>
                    </a:xfrm>
                    <a:prstGeom prst="rect"/>
                  </pic:spPr>
                </pic:pic>
              </a:graphicData>
            </a:graphic>
          </wp:inline>
        </w:drawing>
      </w:r>
    </w:p>
    <w:p>
      <w:pPr>
        <w:spacing w:after="200"/>
        <w:jc w:val="center"/>
      </w:pPr>
      <w:r>
        <w:rPr>
          <w:rFonts w:ascii="Times New Roman" w:hAnsi="Times New Roman" w:cs="Times New Roman"/>
          <w:b w:val="0"/>
          <w:i/>
          <w:sz w:val="18"/>
        </w:rPr>
        <w:t>Figure 14. Adversarial privacy verification on 30 real LibriSpeech speakers: re-identification AUC achieved by a raw-audio attacker (proxy of conventional proctoring) versus a metadata-only attacker (the proposed system).</w:t>
      </w:r>
    </w:p>
    <w:p>
      <w:pPr>
        <w:spacing w:before="160" w:after="80"/>
      </w:pPr>
      <w:r>
        <w:rPr>
          <w:rFonts w:ascii="Times New Roman" w:hAnsi="Times New Roman" w:cs="Times New Roman"/>
          <w:b/>
          <w:i w:val="0"/>
          <w:sz w:val="28"/>
        </w:rPr>
        <w:t>7. Discussion</w:t>
      </w:r>
    </w:p>
    <w:p>
      <w:pPr>
        <w:jc w:val="center"/>
      </w:pPr>
      <w:r>
        <w:drawing>
          <wp:inline xmlns:a="http://schemas.openxmlformats.org/drawingml/2006/main" xmlns:pic="http://schemas.openxmlformats.org/drawingml/2006/picture">
            <wp:extent cx="5486400" cy="6350798"/>
            <wp:docPr id="15" name="Picture 15"/>
            <wp:cNvGraphicFramePr>
              <a:graphicFrameLocks noChangeAspect="1"/>
            </wp:cNvGraphicFramePr>
            <a:graphic>
              <a:graphicData uri="http://schemas.openxmlformats.org/drawingml/2006/picture">
                <pic:pic>
                  <pic:nvPicPr>
                    <pic:cNvPr id="0" name="fig_summary_table.png"/>
                    <pic:cNvPicPr/>
                  </pic:nvPicPr>
                  <pic:blipFill>
                    <a:blip r:embed="rId23"/>
                    <a:stretch>
                      <a:fillRect/>
                    </a:stretch>
                  </pic:blipFill>
                  <pic:spPr>
                    <a:xfrm>
                      <a:off x="0" y="0"/>
                      <a:ext cx="5486400" cy="6350798"/>
                    </a:xfrm>
                    <a:prstGeom prst="rect"/>
                  </pic:spPr>
                </pic:pic>
              </a:graphicData>
            </a:graphic>
          </wp:inline>
        </w:drawing>
      </w:r>
    </w:p>
    <w:p>
      <w:pPr>
        <w:spacing w:after="200"/>
        <w:jc w:val="center"/>
      </w:pPr>
      <w:r>
        <w:rPr>
          <w:rFonts w:ascii="Times New Roman" w:hAnsi="Times New Roman" w:cs="Times New Roman"/>
          <w:b w:val="0"/>
          <w:i/>
          <w:sz w:val="18"/>
        </w:rPr>
        <w:t>Figure 15. Aggregate summary of the empirical performance, latency and privacy metrics of the proposed framework.</w:t>
      </w:r>
    </w:p>
    <w:p>
      <w:pPr>
        <w:spacing w:before="160" w:after="80"/>
      </w:pPr>
      <w:r>
        <w:rPr>
          <w:rFonts w:ascii="Times New Roman" w:hAnsi="Times New Roman" w:cs="Times New Roman"/>
          <w:b/>
          <w:i w:val="0"/>
          <w:sz w:val="24"/>
        </w:rPr>
        <w:t>7.1 Compliance Alignment</w:t>
      </w:r>
    </w:p>
    <w:p>
      <w:pPr>
        <w:spacing w:after="80" w:line="288" w:lineRule="auto"/>
      </w:pPr>
      <w:r>
        <w:rPr>
          <w:rFonts w:ascii="Times New Roman" w:hAnsi="Times New Roman" w:cs="Times New Roman"/>
          <w:b w:val="0"/>
          <w:i w:val="0"/>
          <w:sz w:val="22"/>
        </w:rPr>
        <w:t>Our design choices map directly onto regulatory requirements:</w:t>
      </w:r>
    </w:p>
    <w:p>
      <w:pPr>
        <w:pStyle w:val="ListBullet"/>
      </w:pPr>
      <w:r>
        <w:rPr>
          <w:rFonts w:ascii="Times New Roman" w:hAnsi="Times New Roman" w:cs="Times New Roman"/>
          <w:b w:val="0"/>
          <w:i/>
          <w:sz w:val="22"/>
        </w:rPr>
        <w:t>GDPR Article 9 / CNDP Law 09-08</w:t>
      </w:r>
      <w:r>
        <w:rPr>
          <w:rFonts w:ascii="Times New Roman" w:hAnsi="Times New Roman" w:cs="Times New Roman"/>
          <w:b w:val="0"/>
          <w:i w:val="0"/>
          <w:sz w:val="22"/>
        </w:rPr>
        <w:t xml:space="preserve"> — no biometric template is stored, addressing the special-category restriction.</w:t>
      </w:r>
    </w:p>
    <w:p>
      <w:pPr>
        <w:pStyle w:val="ListBullet"/>
      </w:pPr>
      <w:r>
        <w:rPr>
          <w:rFonts w:ascii="Times New Roman" w:hAnsi="Times New Roman" w:cs="Times New Roman"/>
          <w:b w:val="0"/>
          <w:i/>
          <w:sz w:val="22"/>
        </w:rPr>
        <w:t>GDPR Article 25</w:t>
      </w:r>
      <w:r>
        <w:rPr>
          <w:rFonts w:ascii="Times New Roman" w:hAnsi="Times New Roman" w:cs="Times New Roman"/>
          <w:b w:val="0"/>
          <w:i w:val="0"/>
          <w:sz w:val="22"/>
        </w:rPr>
        <w:t xml:space="preserve"> — data protection by design and by default is implemented at the architectural level (no decoder; volatile buffers; metadata-only persistence).</w:t>
      </w:r>
    </w:p>
    <w:p>
      <w:pPr>
        <w:pStyle w:val="ListBullet"/>
      </w:pPr>
      <w:r>
        <w:rPr>
          <w:rFonts w:ascii="Times New Roman" w:hAnsi="Times New Roman" w:cs="Times New Roman"/>
          <w:b w:val="0"/>
          <w:i/>
          <w:sz w:val="22"/>
        </w:rPr>
        <w:t>GDPR Article 22</w:t>
      </w:r>
      <w:r>
        <w:rPr>
          <w:rFonts w:ascii="Times New Roman" w:hAnsi="Times New Roman" w:cs="Times New Roman"/>
          <w:b w:val="0"/>
          <w:i w:val="0"/>
          <w:sz w:val="22"/>
        </w:rPr>
        <w:t xml:space="preserve"> — the system does not produce solely automated decisions with legal effect; it generates warnings for human review.</w:t>
      </w:r>
    </w:p>
    <w:p>
      <w:pPr>
        <w:pStyle w:val="ListBullet"/>
      </w:pPr>
      <w:r>
        <w:rPr>
          <w:rFonts w:ascii="Times New Roman" w:hAnsi="Times New Roman" w:cs="Times New Roman"/>
          <w:b w:val="0"/>
          <w:i/>
          <w:sz w:val="22"/>
        </w:rPr>
        <w:t>CNDP guidance note 2022</w:t>
      </w:r>
      <w:r>
        <w:rPr>
          <w:rFonts w:ascii="Times New Roman" w:hAnsi="Times New Roman" w:cs="Times New Roman"/>
          <w:b w:val="0"/>
          <w:i w:val="0"/>
          <w:sz w:val="22"/>
        </w:rPr>
        <w:t xml:space="preserve"> [6] — the proportionality requirement is satisfied because the volume and granularity of collected data is bounded by the metadata schema in Section 4.4.</w:t>
      </w:r>
    </w:p>
    <w:p>
      <w:pPr>
        <w:spacing w:before="160" w:after="80"/>
      </w:pPr>
      <w:r>
        <w:rPr>
          <w:rFonts w:ascii="Times New Roman" w:hAnsi="Times New Roman" w:cs="Times New Roman"/>
          <w:b/>
          <w:i w:val="0"/>
          <w:sz w:val="24"/>
        </w:rPr>
        <w:t>7.2 Comparison to Prior Systems</w:t>
      </w:r>
    </w:p>
    <w:p>
      <w:pPr>
        <w:spacing w:after="80" w:line="288" w:lineRule="auto"/>
      </w:pPr>
      <w:r>
        <w:rPr>
          <w:rFonts w:ascii="Times New Roman" w:hAnsi="Times New Roman" w:cs="Times New Roman"/>
          <w:b w:val="0"/>
          <w:i w:val="0"/>
          <w:sz w:val="22"/>
        </w:rPr>
        <w:t>The multi-modal pipeline of Masud et al. [12] reports an aggregate accuracy of 97.7% but operates with biometric face templates and raw-video retention; our fusion model attains an F1 of 0.905 on real-modality features without retaining either, which is the relevant operational comparison once biometric-free operation is required. Compared with the YOLO-only pipeline of Singh et al. [10], our fusion approach adds acoustic and behavioural redundancy that compensates for the documented failure modes of YOLOv8-s on small or partially-occluded smartphones and books (Section 6.1). None of the surveyed systems quantify privacy with an adversarial test; the present work provides such a measurement on 30 real LibriSpeech speakers, complementing the design-time privacy guarantees of federated learning [25], [26] and differentially private gaze [27], [28].</w:t>
      </w:r>
    </w:p>
    <w:p>
      <w:pPr>
        <w:spacing w:before="160" w:after="80"/>
      </w:pPr>
      <w:r>
        <w:rPr>
          <w:rFonts w:ascii="Times New Roman" w:hAnsi="Times New Roman" w:cs="Times New Roman"/>
          <w:b/>
          <w:i w:val="0"/>
          <w:sz w:val="24"/>
        </w:rPr>
        <w:t>7.3 Threats to Validity</w:t>
      </w:r>
    </w:p>
    <w:p>
      <w:pPr>
        <w:spacing w:after="80" w:line="288" w:lineRule="auto"/>
      </w:pPr>
      <w:r>
        <w:rPr>
          <w:rFonts w:ascii="Times New Roman" w:hAnsi="Times New Roman" w:cs="Times New Roman"/>
          <w:b/>
          <w:i w:val="0"/>
          <w:sz w:val="22"/>
        </w:rPr>
        <w:t>Internal validity.</w:t>
      </w:r>
      <w:r>
        <w:rPr>
          <w:rFonts w:ascii="Times New Roman" w:hAnsi="Times New Roman" w:cs="Times New Roman"/>
          <w:b w:val="0"/>
          <w:i w:val="0"/>
          <w:sz w:val="22"/>
        </w:rPr>
        <w:t xml:space="preserve"> Acoustic and behaviour evaluations use synthetic data because using real student recordings would itself constitute biometric processing. We mitigate this by (i) modelling realistic speaker, lip, and gaze variability, (ii) injecting per-trial jitter, and (iii) cross-validating thresholds. The visual subsystem is evaluated on real COCO images, providing an unbiased estimate for that modality.</w:t>
      </w:r>
    </w:p>
    <w:p>
      <w:pPr>
        <w:spacing w:after="80" w:line="288" w:lineRule="auto"/>
      </w:pPr>
      <w:r>
        <w:rPr>
          <w:rFonts w:ascii="Times New Roman" w:hAnsi="Times New Roman" w:cs="Times New Roman"/>
          <w:b/>
          <w:i w:val="0"/>
          <w:sz w:val="22"/>
        </w:rPr>
        <w:t>External validity.</w:t>
      </w:r>
      <w:r>
        <w:rPr>
          <w:rFonts w:ascii="Times New Roman" w:hAnsi="Times New Roman" w:cs="Times New Roman"/>
          <w:b w:val="0"/>
          <w:i w:val="0"/>
          <w:sz w:val="22"/>
        </w:rPr>
        <w:t xml:space="preserve"> Hardware variability across student devices is not exhaustively covered. The robustness study addresses lighting, scale, and SNR; future work will expand to webcam resolution, motion blur, and codec compression.</w:t>
      </w:r>
    </w:p>
    <w:p>
      <w:pPr>
        <w:spacing w:after="80" w:line="288" w:lineRule="auto"/>
      </w:pPr>
      <w:r>
        <w:rPr>
          <w:rFonts w:ascii="Times New Roman" w:hAnsi="Times New Roman" w:cs="Times New Roman"/>
          <w:b/>
          <w:i w:val="0"/>
          <w:sz w:val="22"/>
        </w:rPr>
        <w:t>Construct validity.</w:t>
      </w:r>
      <w:r>
        <w:rPr>
          <w:rFonts w:ascii="Times New Roman" w:hAnsi="Times New Roman" w:cs="Times New Roman"/>
          <w:b w:val="0"/>
          <w:i w:val="0"/>
          <w:sz w:val="22"/>
        </w:rPr>
        <w:t xml:space="preserve"> The Suspicion Index thresholds (0.35, 0.65) are empirically set; deployment in a different cultural or pedagogical context may require recalibration. The CV-based estimates and bootstrap CIs bound the expected variation.</w:t>
      </w:r>
    </w:p>
    <w:p>
      <w:pPr>
        <w:spacing w:after="80" w:line="288" w:lineRule="auto"/>
      </w:pPr>
      <w:r>
        <w:rPr>
          <w:rFonts w:ascii="Times New Roman" w:hAnsi="Times New Roman" w:cs="Times New Roman"/>
          <w:b/>
          <w:i w:val="0"/>
          <w:sz w:val="22"/>
        </w:rPr>
        <w:t>Conclusion validity.</w:t>
      </w:r>
      <w:r>
        <w:rPr>
          <w:rFonts w:ascii="Times New Roman" w:hAnsi="Times New Roman" w:cs="Times New Roman"/>
          <w:b w:val="0"/>
          <w:i w:val="0"/>
          <w:sz w:val="22"/>
        </w:rPr>
        <w:t xml:space="preserve"> Statistical significance was assessed with McNemar's test (a paired non-parametric test appropriate for binary classifiers) and 1,000-sample bootstrap CIs. Reported p-values remain below the 0.05 threshold even after Bonferroni correction for the four pairwise comparisons (corrected α = 0.0125).</w:t>
      </w:r>
    </w:p>
    <w:p>
      <w:pPr>
        <w:spacing w:before="160" w:after="80"/>
      </w:pPr>
      <w:r>
        <w:rPr>
          <w:rFonts w:ascii="Times New Roman" w:hAnsi="Times New Roman" w:cs="Times New Roman"/>
          <w:b/>
          <w:i w:val="0"/>
          <w:sz w:val="28"/>
        </w:rPr>
        <w:t>8. Limitations and Future Work</w:t>
      </w:r>
    </w:p>
    <w:p>
      <w:pPr>
        <w:spacing w:after="80" w:line="288" w:lineRule="auto"/>
      </w:pPr>
      <w:r>
        <w:rPr>
          <w:rFonts w:ascii="Times New Roman" w:hAnsi="Times New Roman" w:cs="Times New Roman"/>
          <w:b w:val="0"/>
          <w:i w:val="0"/>
          <w:sz w:val="22"/>
        </w:rPr>
        <w:t>The current prototype has six primary limitations:</w:t>
      </w:r>
    </w:p>
    <w:p>
      <w:pPr>
        <w:pStyle w:val="ListNumber"/>
      </w:pPr>
      <w:r>
        <w:rPr>
          <w:rFonts w:ascii="Times New Roman" w:hAnsi="Times New Roman" w:cs="Times New Roman"/>
          <w:b/>
          <w:i w:val="0"/>
          <w:sz w:val="22"/>
        </w:rPr>
        <w:t>No human user study yet.</w:t>
      </w:r>
      <w:r>
        <w:rPr>
          <w:rFonts w:ascii="Times New Roman" w:hAnsi="Times New Roman" w:cs="Times New Roman"/>
          <w:b w:val="0"/>
          <w:i w:val="0"/>
          <w:sz w:val="22"/>
        </w:rPr>
        <w:t xml:space="preserve"> The visual evaluation uses real COCO data, the acoustic evaluation uses real LibriSpeech utterances, and the behavioural evaluation uses real MediaPipe FaceMesh trajectories computed from real face photographs. However, the fusion model and threshold calibration have not yet been validated on real recordings of students taking actual exams. A multi-site pilot study with informed consent and institutional ethics review is in preparation and is intentionally scoped as future work rather than embedded in the present feasibility-and-privacy-architecture paper. Federated training across multiple institutions [25], [26], coupled with the secure-aggregation primitives, will allow the model to be refined on decentralised real-exam data without aggregating biometric content.</w:t>
      </w:r>
    </w:p>
    <w:p>
      <w:pPr>
        <w:pStyle w:val="ListNumber"/>
      </w:pPr>
      <w:r>
        <w:rPr>
          <w:rFonts w:ascii="Times New Roman" w:hAnsi="Times New Roman" w:cs="Times New Roman"/>
          <w:b/>
          <w:i w:val="0"/>
          <w:sz w:val="22"/>
        </w:rPr>
        <w:t>Single high-end host for benchmarks.</w:t>
      </w:r>
      <w:r>
        <w:rPr>
          <w:rFonts w:ascii="Times New Roman" w:hAnsi="Times New Roman" w:cs="Times New Roman"/>
          <w:b w:val="0"/>
          <w:i w:val="0"/>
          <w:sz w:val="22"/>
        </w:rPr>
        <w:t xml:space="preserve"> All numbers in this paper come from a single Apple M4 Max host (Mac Studio, 36 GB unified memory). Although we re-benchmark in CPU-only mode to expose how much of the latency budget is driven by compute versus dispatch, this is not a substitute for testing on a 5-year-old Intel laptop, a Raspberry Pi 5, or a typical Chromebook. A multi-device benchmark (Intel i5, AMD Ryzen 5, Snapdragon X, Apple M1) is part of the follow-up work.</w:t>
      </w:r>
    </w:p>
    <w:p>
      <w:pPr>
        <w:pStyle w:val="ListNumber"/>
      </w:pPr>
      <w:r>
        <w:rPr>
          <w:rFonts w:ascii="Times New Roman" w:hAnsi="Times New Roman" w:cs="Times New Roman"/>
          <w:b/>
          <w:i w:val="0"/>
          <w:sz w:val="22"/>
        </w:rPr>
        <w:t>Manual threshold setting.</w:t>
      </w:r>
      <w:r>
        <w:rPr>
          <w:rFonts w:ascii="Times New Roman" w:hAnsi="Times New Roman" w:cs="Times New Roman"/>
          <w:b w:val="0"/>
          <w:i w:val="0"/>
          <w:sz w:val="22"/>
        </w:rPr>
        <w:t xml:space="preserve"> The 0.35/0.65 thresholds are calibrated empirically. A Bayesian active-learning loop driven by examiner feedback would adapt thresholds per cohort, with formal guarantees on false-positive rate.</w:t>
      </w:r>
    </w:p>
    <w:p>
      <w:pPr>
        <w:pStyle w:val="ListNumber"/>
      </w:pPr>
      <w:r>
        <w:rPr>
          <w:rFonts w:ascii="Times New Roman" w:hAnsi="Times New Roman" w:cs="Times New Roman"/>
          <w:b/>
          <w:i w:val="0"/>
          <w:sz w:val="22"/>
        </w:rPr>
        <w:t>No integration with browser telemetry.</w:t>
      </w:r>
      <w:r>
        <w:rPr>
          <w:rFonts w:ascii="Times New Roman" w:hAnsi="Times New Roman" w:cs="Times New Roman"/>
          <w:b w:val="0"/>
          <w:i w:val="0"/>
          <w:sz w:val="22"/>
        </w:rPr>
        <w:t xml:space="preserve"> The framework currently ignores window-focus events and clipboard signals, both of which can be processed without entering the domain of behavioural biometrics. Future versions will include non-identifying telemetry where allowed.</w:t>
      </w:r>
    </w:p>
    <w:p>
      <w:pPr>
        <w:pStyle w:val="ListNumber"/>
      </w:pPr>
      <w:r>
        <w:rPr>
          <w:rFonts w:ascii="Times New Roman" w:hAnsi="Times New Roman" w:cs="Times New Roman"/>
          <w:b/>
          <w:i w:val="0"/>
          <w:sz w:val="22"/>
        </w:rPr>
        <w:t>Single-camera assumption.</w:t>
      </w:r>
      <w:r>
        <w:rPr>
          <w:rFonts w:ascii="Times New Roman" w:hAnsi="Times New Roman" w:cs="Times New Roman"/>
          <w:b w:val="0"/>
          <w:i w:val="0"/>
          <w:sz w:val="22"/>
        </w:rPr>
        <w:t xml:space="preserve"> Multi-angle setups (e.g. wide-angle desk view) would substantially improve coverage of below-desk smartphone use. We plan to integrate a second-camera variant with the same privacy budget.</w:t>
      </w:r>
    </w:p>
    <w:p>
      <w:pPr>
        <w:spacing w:after="80" w:line="288" w:lineRule="auto"/>
      </w:pPr>
      <w:r>
        <w:rPr>
          <w:rFonts w:ascii="Times New Roman" w:hAnsi="Times New Roman" w:cs="Times New Roman"/>
          <w:b w:val="0"/>
          <w:i w:val="0"/>
          <w:sz w:val="22"/>
        </w:rPr>
        <w:t>In addition, three research directions follow naturally:</w:t>
      </w:r>
    </w:p>
    <w:p>
      <w:pPr>
        <w:pStyle w:val="ListBullet"/>
      </w:pPr>
      <w:r>
        <w:rPr>
          <w:rFonts w:ascii="Times New Roman" w:hAnsi="Times New Roman" w:cs="Times New Roman"/>
          <w:b w:val="0"/>
          <w:i w:val="0"/>
          <w:sz w:val="22"/>
        </w:rPr>
        <w:t>Differentially private gaze and lip-movement signals to bound information leakage to a configurable ε budget.</w:t>
      </w:r>
    </w:p>
    <w:p>
      <w:pPr>
        <w:pStyle w:val="ListBullet"/>
      </w:pPr>
      <w:r>
        <w:rPr>
          <w:rFonts w:ascii="Times New Roman" w:hAnsi="Times New Roman" w:cs="Times New Roman"/>
          <w:b w:val="0"/>
          <w:i w:val="0"/>
          <w:sz w:val="22"/>
        </w:rPr>
        <w:t>A formal proof of non-invertibility for the Whisper-encoder embedding under our content-free configuration.</w:t>
      </w:r>
    </w:p>
    <w:p>
      <w:pPr>
        <w:pStyle w:val="ListBullet"/>
      </w:pPr>
      <w:r>
        <w:rPr>
          <w:rFonts w:ascii="Times New Roman" w:hAnsi="Times New Roman" w:cs="Times New Roman"/>
          <w:b w:val="0"/>
          <w:i w:val="0"/>
          <w:sz w:val="22"/>
        </w:rPr>
        <w:t>A longitudinal study across at least three Moroccan universities to validate cross-cohort generalisation and gather examiner feedback for the active-learning loop.</w:t>
      </w:r>
    </w:p>
    <w:p>
      <w:pPr>
        <w:spacing w:before="160" w:after="80"/>
      </w:pPr>
      <w:r>
        <w:rPr>
          <w:rFonts w:ascii="Times New Roman" w:hAnsi="Times New Roman" w:cs="Times New Roman"/>
          <w:b/>
          <w:i w:val="0"/>
          <w:sz w:val="28"/>
        </w:rPr>
        <w:t>9. Conclusion</w:t>
      </w:r>
    </w:p>
    <w:p>
      <w:pPr>
        <w:spacing w:after="80" w:line="288" w:lineRule="auto"/>
      </w:pPr>
      <w:r>
        <w:rPr>
          <w:rFonts w:ascii="Times New Roman" w:hAnsi="Times New Roman" w:cs="Times New Roman"/>
          <w:b w:val="0"/>
          <w:i w:val="0"/>
          <w:sz w:val="22"/>
        </w:rPr>
        <w:t>This paper presented a privacy-preserving multi-modal proctoring framework that integrates YOLOv8-s object detection, MediaPipe FaceMesh behavioural cues, and a content-free Whisper-Base encoder, combined through a learned Suspicion Index Fusion Model. The framework is evaluated end-to-end on real data: real COCO val2017 images for the visual subsystem, real LibriSpeech utterances for the acoustic subsystem, real MediaPipe FaceMesh landmarks extracted from Pexels portraits for the behavioural subsystem, and 300 fusion-evaluation sessions whose feature vectors are real outputs of the three modality encoders. Statistical significance testing, leave-one-modality-out ablations, latency benchmarks, and an adversarial privacy verification on 30 real LibriSpeech speakers complete the protocol. Random Forest emerged as the best fusion strategy with F1 = 0.905 ± 0.041 (95% bootstrap CI [0.876, 0.931]), significantly outperforming the rule-based weighted sum (F1 = 0.899, McNemar χ² = 7.20, p = 7.3 × 10⁻³). The framework runs at 29.5 FPS with MPS GPU acceleration and 30.0 FPS in CPU-only mode on the Apple M4 Max host (Mac Studio, 36 GB unified memory) with a 1,075 MB peak memory footprint, and the metadata stream cannot be inverted to re-identify candidates (AUC = 0.478, sub-chance), while the raw-audio analogue allows near-perfect identification (AUC = 0.994). To the best of the authors' knowledge no prior proctoring framework reported in the AI-proctoring literature combines all of (a) no biometric retention, (b) quantitative adversarial privacy evidence on real-speaker data, (c) real-time multi-modal monitoring, and (d) explicit alignment with both GDPR and CNDP requirements. The code, data generators, and configuration are released to support reproducibility and adoption by other institutions facing similar compliance constraints.</w:t>
      </w:r>
    </w:p>
    <w:p>
      <w:pPr>
        <w:spacing w:before="160" w:after="80"/>
      </w:pPr>
      <w:r>
        <w:rPr>
          <w:rFonts w:ascii="Times New Roman" w:hAnsi="Times New Roman" w:cs="Times New Roman"/>
          <w:b/>
          <w:i w:val="0"/>
          <w:sz w:val="28"/>
        </w:rPr>
        <w:t>Data and Code Availability</w:t>
      </w:r>
    </w:p>
    <w:p>
      <w:pPr>
        <w:spacing w:after="80" w:line="288" w:lineRule="auto"/>
      </w:pPr>
      <w:r>
        <w:rPr>
          <w:rFonts w:ascii="Times New Roman" w:hAnsi="Times New Roman" w:cs="Times New Roman"/>
          <w:b w:val="0"/>
          <w:i w:val="0"/>
          <w:sz w:val="22"/>
        </w:rPr>
        <w:t>All source code, evaluation scripts, deterministic dataset specifications and the manuscript in editable form are released under the MIT license at `https://github.com/aliradid/proctoring-privacy`. The repository contains a `bootstrap.sh` script that re-downloads every external asset used in the experiments (the COCO val2017 annotations and the proctoring-relevant image subset, the LibriSpeech `dev-clean` corpus, the MediaPipe FaceLandmarker checkpoint, and ten CC-BY Pexels portraits used as real-face anchors), and a `reproduce.sh` script that re-runs the full pipeline end-to-end. The headline numbers reported in this paper match the output of `reproduce.sh` on an Apple M4 Max host within the per-run variability documented in the project's `REPRODUCE.md`.</w:t>
      </w:r>
    </w:p>
    <w:p>
      <w:pPr>
        <w:spacing w:before="160" w:after="80"/>
      </w:pPr>
      <w:r>
        <w:rPr>
          <w:rFonts w:ascii="Times New Roman" w:hAnsi="Times New Roman" w:cs="Times New Roman"/>
          <w:b/>
          <w:i w:val="0"/>
          <w:sz w:val="28"/>
        </w:rPr>
        <w:t>Acknowledgements</w:t>
      </w:r>
    </w:p>
    <w:p>
      <w:pPr>
        <w:spacing w:after="80" w:line="288" w:lineRule="auto"/>
      </w:pPr>
      <w:r>
        <w:rPr>
          <w:rFonts w:ascii="Times New Roman" w:hAnsi="Times New Roman" w:cs="Times New Roman"/>
          <w:b w:val="0"/>
          <w:i w:val="0"/>
          <w:sz w:val="22"/>
        </w:rPr>
        <w:t>The authors thank the Department of Mathematics and Computer Science at Hassan II University for hardware support, and the anonymous reviewers for their constructive feedback.</w:t>
      </w:r>
    </w:p>
    <w:p>
      <w:pPr>
        <w:spacing w:before="160" w:after="80"/>
      </w:pPr>
      <w:r>
        <w:rPr>
          <w:rFonts w:ascii="Times New Roman" w:hAnsi="Times New Roman" w:cs="Times New Roman"/>
          <w:b/>
          <w:i w:val="0"/>
          <w:sz w:val="28"/>
        </w:rPr>
        <w:t>References</w:t>
      </w:r>
    </w:p>
    <w:p>
      <w:pPr>
        <w:spacing w:after="80" w:line="288" w:lineRule="auto"/>
      </w:pPr>
      <w:r>
        <w:rPr>
          <w:rFonts w:ascii="Times New Roman" w:hAnsi="Times New Roman" w:cs="Times New Roman"/>
          <w:b w:val="0"/>
          <w:i w:val="0"/>
          <w:sz w:val="22"/>
        </w:rPr>
        <w:t xml:space="preserve">[1] S. Coghlan, T. Miller, and J. Paterson, "Good proctor or 'big brother'? Ethics of online exam supervision technologies," </w:t>
      </w:r>
      <w:r>
        <w:rPr>
          <w:rFonts w:ascii="Times New Roman" w:hAnsi="Times New Roman" w:cs="Times New Roman"/>
          <w:b w:val="0"/>
          <w:i/>
          <w:sz w:val="22"/>
        </w:rPr>
        <w:t>Philosophy &amp; Technology</w:t>
      </w:r>
      <w:r>
        <w:rPr>
          <w:rFonts w:ascii="Times New Roman" w:hAnsi="Times New Roman" w:cs="Times New Roman"/>
          <w:b w:val="0"/>
          <w:i w:val="0"/>
          <w:sz w:val="22"/>
        </w:rPr>
        <w:t>, vol. 34, no. 4, pp. 1581–1606, 2021, doi: 10.1007/s13347-021-00476-1.</w:t>
      </w:r>
    </w:p>
    <w:p>
      <w:pPr>
        <w:spacing w:after="80" w:line="288" w:lineRule="auto"/>
      </w:pPr>
      <w:r>
        <w:rPr>
          <w:rFonts w:ascii="Times New Roman" w:hAnsi="Times New Roman" w:cs="Times New Roman"/>
          <w:b w:val="0"/>
          <w:i w:val="0"/>
          <w:sz w:val="22"/>
        </w:rPr>
        <w:t xml:space="preserve">[2] N. Selwyn, C. O'Neill, G. Smith, M. Andrejevic, and X. Gu, "A necessary evil? The rise of online exam proctoring in Australian universities," </w:t>
      </w:r>
      <w:r>
        <w:rPr>
          <w:rFonts w:ascii="Times New Roman" w:hAnsi="Times New Roman" w:cs="Times New Roman"/>
          <w:b w:val="0"/>
          <w:i/>
          <w:sz w:val="22"/>
        </w:rPr>
        <w:t>Media International Australia</w:t>
      </w:r>
      <w:r>
        <w:rPr>
          <w:rFonts w:ascii="Times New Roman" w:hAnsi="Times New Roman" w:cs="Times New Roman"/>
          <w:b w:val="0"/>
          <w:i w:val="0"/>
          <w:sz w:val="22"/>
        </w:rPr>
        <w:t>, vol. 186, no. 1, pp. 149–164, 2023, doi: 10.1177/1329878X211005862.</w:t>
      </w:r>
    </w:p>
    <w:p>
      <w:pPr>
        <w:spacing w:after="80" w:line="288" w:lineRule="auto"/>
      </w:pPr>
      <w:r>
        <w:rPr>
          <w:rFonts w:ascii="Times New Roman" w:hAnsi="Times New Roman" w:cs="Times New Roman"/>
          <w:b w:val="0"/>
          <w:i w:val="0"/>
          <w:sz w:val="22"/>
        </w:rPr>
        <w:t xml:space="preserve">[3] D. R. Yoder-Himes, A. Asif, K. Kinney, T. J. Brandt, R. E. Cecil, P. R. Himes, C. Hying, A. P. Lavin, J. M. Yoder-Himes, A. Burdine, et al., "Racial, skin tone, and sex disparities in automated proctoring software," </w:t>
      </w:r>
      <w:r>
        <w:rPr>
          <w:rFonts w:ascii="Times New Roman" w:hAnsi="Times New Roman" w:cs="Times New Roman"/>
          <w:b w:val="0"/>
          <w:i/>
          <w:sz w:val="22"/>
        </w:rPr>
        <w:t>Frontiers in Education</w:t>
      </w:r>
      <w:r>
        <w:rPr>
          <w:rFonts w:ascii="Times New Roman" w:hAnsi="Times New Roman" w:cs="Times New Roman"/>
          <w:b w:val="0"/>
          <w:i w:val="0"/>
          <w:sz w:val="22"/>
        </w:rPr>
        <w:t>, vol. 7, p. 881449, 2022, doi: 10.3389/feduc.2022.881449.</w:t>
      </w:r>
    </w:p>
    <w:p>
      <w:pPr>
        <w:spacing w:after="80" w:line="288" w:lineRule="auto"/>
      </w:pPr>
      <w:r>
        <w:rPr>
          <w:rFonts w:ascii="Times New Roman" w:hAnsi="Times New Roman" w:cs="Times New Roman"/>
          <w:b w:val="0"/>
          <w:i w:val="0"/>
          <w:sz w:val="22"/>
        </w:rPr>
        <w:t xml:space="preserve">[4] Regulation (EU) 2016/679 of the European Parliament and of the Council of 27 April 2016 on the protection of natural persons with regard to the processing of personal data and on the free movement of such data (General Data Protection Regulation), </w:t>
      </w:r>
      <w:r>
        <w:rPr>
          <w:rFonts w:ascii="Times New Roman" w:hAnsi="Times New Roman" w:cs="Times New Roman"/>
          <w:b w:val="0"/>
          <w:i/>
          <w:sz w:val="22"/>
        </w:rPr>
        <w:t>Official Journal of the European Union</w:t>
      </w:r>
      <w:r>
        <w:rPr>
          <w:rFonts w:ascii="Times New Roman" w:hAnsi="Times New Roman" w:cs="Times New Roman"/>
          <w:b w:val="0"/>
          <w:i w:val="0"/>
          <w:sz w:val="22"/>
        </w:rPr>
        <w:t>, L119, pp. 1–88, May 2016.</w:t>
      </w:r>
    </w:p>
    <w:p>
      <w:pPr>
        <w:spacing w:after="80" w:line="288" w:lineRule="auto"/>
      </w:pPr>
      <w:r>
        <w:rPr>
          <w:rFonts w:ascii="Times New Roman" w:hAnsi="Times New Roman" w:cs="Times New Roman"/>
          <w:b w:val="0"/>
          <w:i w:val="0"/>
          <w:sz w:val="22"/>
        </w:rPr>
        <w:t xml:space="preserve">[5] Royaume du Maroc, </w:t>
      </w:r>
      <w:r>
        <w:rPr>
          <w:rFonts w:ascii="Times New Roman" w:hAnsi="Times New Roman" w:cs="Times New Roman"/>
          <w:b w:val="0"/>
          <w:i/>
          <w:sz w:val="22"/>
        </w:rPr>
        <w:t>Loi n° 09-08 relative à la protection des personnes physiques à l'égard du traitement des données à caractère personnel</w:t>
      </w:r>
      <w:r>
        <w:rPr>
          <w:rFonts w:ascii="Times New Roman" w:hAnsi="Times New Roman" w:cs="Times New Roman"/>
          <w:b w:val="0"/>
          <w:i w:val="0"/>
          <w:sz w:val="22"/>
        </w:rPr>
        <w:t>, Bulletin Officiel n°5714, 2009.</w:t>
      </w:r>
    </w:p>
    <w:p>
      <w:pPr>
        <w:spacing w:after="80" w:line="288" w:lineRule="auto"/>
      </w:pPr>
      <w:r>
        <w:rPr>
          <w:rFonts w:ascii="Times New Roman" w:hAnsi="Times New Roman" w:cs="Times New Roman"/>
          <w:b w:val="0"/>
          <w:i w:val="0"/>
          <w:sz w:val="22"/>
        </w:rPr>
        <w:t>[6] Commission Nationale de Contrôle de la Protection des Données à Caractère Personnel (CNDP), "Conditions et obligations du responsable de traitement au titre de la loi 09-08," CNDP, Rabat, Morocco, guidance note, 2022.</w:t>
      </w:r>
    </w:p>
    <w:p>
      <w:pPr>
        <w:spacing w:after="80" w:line="288" w:lineRule="auto"/>
      </w:pPr>
      <w:r>
        <w:rPr>
          <w:rFonts w:ascii="Times New Roman" w:hAnsi="Times New Roman" w:cs="Times New Roman"/>
          <w:b w:val="0"/>
          <w:i w:val="0"/>
          <w:sz w:val="22"/>
        </w:rPr>
        <w:t>[7] European Data Protection Board, "Guidelines 05/2020 on consent under Regulation 2016/679," May 2020.</w:t>
      </w:r>
    </w:p>
    <w:p>
      <w:pPr>
        <w:spacing w:after="80" w:line="288" w:lineRule="auto"/>
      </w:pPr>
      <w:r>
        <w:rPr>
          <w:rFonts w:ascii="Times New Roman" w:hAnsi="Times New Roman" w:cs="Times New Roman"/>
          <w:b w:val="0"/>
          <w:i w:val="0"/>
          <w:sz w:val="22"/>
        </w:rPr>
        <w:t xml:space="preserve">[8] Y. Atoum, L. Chen, A. X. Liu, S. D. H. Hsu, and X. Liu, "Automated online exam proctoring," </w:t>
      </w:r>
      <w:r>
        <w:rPr>
          <w:rFonts w:ascii="Times New Roman" w:hAnsi="Times New Roman" w:cs="Times New Roman"/>
          <w:b w:val="0"/>
          <w:i/>
          <w:sz w:val="22"/>
        </w:rPr>
        <w:t>IEEE Transactions on Multimedia</w:t>
      </w:r>
      <w:r>
        <w:rPr>
          <w:rFonts w:ascii="Times New Roman" w:hAnsi="Times New Roman" w:cs="Times New Roman"/>
          <w:b w:val="0"/>
          <w:i w:val="0"/>
          <w:sz w:val="22"/>
        </w:rPr>
        <w:t>, vol. 19, no. 7, pp. 1609–1624, 2017, doi: 10.1109/TMM.2017.2656064.</w:t>
      </w:r>
    </w:p>
    <w:p>
      <w:pPr>
        <w:spacing w:after="80" w:line="288" w:lineRule="auto"/>
      </w:pPr>
      <w:r>
        <w:rPr>
          <w:rFonts w:ascii="Times New Roman" w:hAnsi="Times New Roman" w:cs="Times New Roman"/>
          <w:b w:val="0"/>
          <w:i w:val="0"/>
          <w:sz w:val="22"/>
        </w:rPr>
        <w:t xml:space="preserve">[9] A. Nigam, R. Pasricha, T. Singh, and P. Churi, "A systematic review on AI-based proctoring systems: past, present and future," </w:t>
      </w:r>
      <w:r>
        <w:rPr>
          <w:rFonts w:ascii="Times New Roman" w:hAnsi="Times New Roman" w:cs="Times New Roman"/>
          <w:b w:val="0"/>
          <w:i/>
          <w:sz w:val="22"/>
        </w:rPr>
        <w:t>Education and Information Technologies</w:t>
      </w:r>
      <w:r>
        <w:rPr>
          <w:rFonts w:ascii="Times New Roman" w:hAnsi="Times New Roman" w:cs="Times New Roman"/>
          <w:b w:val="0"/>
          <w:i w:val="0"/>
          <w:sz w:val="22"/>
        </w:rPr>
        <w:t>, vol. 26, no. 5, pp. 6421–6445, 2021, doi: 10.1007/s10639-021-10597-x.</w:t>
      </w:r>
    </w:p>
    <w:p>
      <w:pPr>
        <w:spacing w:after="80" w:line="288" w:lineRule="auto"/>
      </w:pPr>
      <w:r>
        <w:rPr>
          <w:rFonts w:ascii="Times New Roman" w:hAnsi="Times New Roman" w:cs="Times New Roman"/>
          <w:b w:val="0"/>
          <w:i w:val="0"/>
          <w:sz w:val="22"/>
        </w:rPr>
        <w:t xml:space="preserve">[10] T. Singh, R. R. Nair, T. Babu, and P. Duraisamy, "Enhancing academic integrity in online assessments: introducing an effective online exam proctoring model using YOLO," </w:t>
      </w:r>
      <w:r>
        <w:rPr>
          <w:rFonts w:ascii="Times New Roman" w:hAnsi="Times New Roman" w:cs="Times New Roman"/>
          <w:b w:val="0"/>
          <w:i/>
          <w:sz w:val="22"/>
        </w:rPr>
        <w:t>Procedia Computer Science</w:t>
      </w:r>
      <w:r>
        <w:rPr>
          <w:rFonts w:ascii="Times New Roman" w:hAnsi="Times New Roman" w:cs="Times New Roman"/>
          <w:b w:val="0"/>
          <w:i w:val="0"/>
          <w:sz w:val="22"/>
        </w:rPr>
        <w:t>, vol. 235, pp. 1399–1408, 2024, doi: 10.1016/j.procs.2024.04.131.</w:t>
      </w:r>
    </w:p>
    <w:p>
      <w:pPr>
        <w:spacing w:after="80" w:line="288" w:lineRule="auto"/>
      </w:pPr>
      <w:r>
        <w:rPr>
          <w:rFonts w:ascii="Times New Roman" w:hAnsi="Times New Roman" w:cs="Times New Roman"/>
          <w:b w:val="0"/>
          <w:i w:val="0"/>
          <w:sz w:val="22"/>
        </w:rPr>
        <w:t xml:space="preserve">[11] V. A. S. Vishal, V. M. Vishal, M. Muthuvel, and E. Vijayaram, "AI-based proctoring system for cheating prevention in online exams," </w:t>
      </w:r>
      <w:r>
        <w:rPr>
          <w:rFonts w:ascii="Times New Roman" w:hAnsi="Times New Roman" w:cs="Times New Roman"/>
          <w:b w:val="0"/>
          <w:i/>
          <w:sz w:val="22"/>
        </w:rPr>
        <w:t>International Research Journal of Education and Technology</w:t>
      </w:r>
      <w:r>
        <w:rPr>
          <w:rFonts w:ascii="Times New Roman" w:hAnsi="Times New Roman" w:cs="Times New Roman"/>
          <w:b w:val="0"/>
          <w:i w:val="0"/>
          <w:sz w:val="22"/>
        </w:rPr>
        <w:t>, vol. 7, no. 3, pp. 1636–1645, Mar. 2025.</w:t>
      </w:r>
    </w:p>
    <w:p>
      <w:pPr>
        <w:spacing w:after="80" w:line="288" w:lineRule="auto"/>
      </w:pPr>
      <w:r>
        <w:rPr>
          <w:rFonts w:ascii="Times New Roman" w:hAnsi="Times New Roman" w:cs="Times New Roman"/>
          <w:b w:val="0"/>
          <w:i w:val="0"/>
          <w:sz w:val="22"/>
        </w:rPr>
        <w:t xml:space="preserve">[12] M. M. Masud, K. Hayawi, S. S. Mathew, T. Michael, and M. E. Barachi, "Smart online exam proctoring assist for cheating detection," in </w:t>
      </w:r>
      <w:r>
        <w:rPr>
          <w:rFonts w:ascii="Times New Roman" w:hAnsi="Times New Roman" w:cs="Times New Roman"/>
          <w:b w:val="0"/>
          <w:i/>
          <w:sz w:val="22"/>
        </w:rPr>
        <w:t>Advanced Data Mining and Applications (ADMA 2021)</w:t>
      </w:r>
      <w:r>
        <w:rPr>
          <w:rFonts w:ascii="Times New Roman" w:hAnsi="Times New Roman" w:cs="Times New Roman"/>
          <w:b w:val="0"/>
          <w:i w:val="0"/>
          <w:sz w:val="22"/>
        </w:rPr>
        <w:t>, vol. 13088 of LNAI, Cham: Springer, 2022, pp. 118–132, doi: 10.1007/978-3-030-95405-5_9.</w:t>
      </w:r>
    </w:p>
    <w:p>
      <w:pPr>
        <w:spacing w:after="80" w:line="288" w:lineRule="auto"/>
      </w:pPr>
      <w:r>
        <w:rPr>
          <w:rFonts w:ascii="Times New Roman" w:hAnsi="Times New Roman" w:cs="Times New Roman"/>
          <w:b w:val="0"/>
          <w:i w:val="0"/>
          <w:sz w:val="22"/>
        </w:rPr>
        <w:t>[13] G. Jocher, A. Chaurasia, and J. Qiu, "Ultralytics YOLOv8," Ultralytics, software documentation, 2023. [Online]. Available: https://docs.ultralytics.com/</w:t>
      </w:r>
    </w:p>
    <w:p>
      <w:pPr>
        <w:spacing w:after="80" w:line="288" w:lineRule="auto"/>
      </w:pPr>
      <w:r>
        <w:rPr>
          <w:rFonts w:ascii="Times New Roman" w:hAnsi="Times New Roman" w:cs="Times New Roman"/>
          <w:b w:val="0"/>
          <w:i w:val="0"/>
          <w:sz w:val="22"/>
        </w:rPr>
        <w:t xml:space="preserve">[14] T.-Y. Lin, M. Maire, S. Belongie, J. Hays, P. Perona, D. Ramanan, P. Dollár, and C. L. Zitnick, "Microsoft COCO: common objects in context," in </w:t>
      </w:r>
      <w:r>
        <w:rPr>
          <w:rFonts w:ascii="Times New Roman" w:hAnsi="Times New Roman" w:cs="Times New Roman"/>
          <w:b w:val="0"/>
          <w:i/>
          <w:sz w:val="22"/>
        </w:rPr>
        <w:t>Proc. European Conference on Computer Vision (ECCV)</w:t>
      </w:r>
      <w:r>
        <w:rPr>
          <w:rFonts w:ascii="Times New Roman" w:hAnsi="Times New Roman" w:cs="Times New Roman"/>
          <w:b w:val="0"/>
          <w:i w:val="0"/>
          <w:sz w:val="22"/>
        </w:rPr>
        <w:t>, vol. 8693 of LNCS, 2014, pp. 740–755, doi: 10.1007/978-3-319-10602-1_48.</w:t>
      </w:r>
    </w:p>
    <w:p>
      <w:pPr>
        <w:spacing w:after="80" w:line="288" w:lineRule="auto"/>
      </w:pPr>
      <w:r>
        <w:rPr>
          <w:rFonts w:ascii="Times New Roman" w:hAnsi="Times New Roman" w:cs="Times New Roman"/>
          <w:b w:val="0"/>
          <w:i w:val="0"/>
          <w:sz w:val="22"/>
        </w:rPr>
        <w:t xml:space="preserve">[15] C. Lugaresi, J. Tang, H. Nash, C. McClanahan, E. Uboweja, M. Hays, F. Zhang, C.-L. Chang, M. G. Yong, J. Lee, W.-T. Chang, W. Hua, M. Georg, and M. Grundmann, "MediaPipe: a framework for building perception pipelines," </w:t>
      </w:r>
      <w:r>
        <w:rPr>
          <w:rFonts w:ascii="Times New Roman" w:hAnsi="Times New Roman" w:cs="Times New Roman"/>
          <w:b w:val="0"/>
          <w:i/>
          <w:sz w:val="22"/>
        </w:rPr>
        <w:t>arXiv preprint</w:t>
      </w:r>
      <w:r>
        <w:rPr>
          <w:rFonts w:ascii="Times New Roman" w:hAnsi="Times New Roman" w:cs="Times New Roman"/>
          <w:b w:val="0"/>
          <w:i w:val="0"/>
          <w:sz w:val="22"/>
        </w:rPr>
        <w:t>, arXiv:1906.08172, 2019.</w:t>
      </w:r>
    </w:p>
    <w:p>
      <w:pPr>
        <w:spacing w:after="80" w:line="288" w:lineRule="auto"/>
      </w:pPr>
      <w:r>
        <w:rPr>
          <w:rFonts w:ascii="Times New Roman" w:hAnsi="Times New Roman" w:cs="Times New Roman"/>
          <w:b w:val="0"/>
          <w:i w:val="0"/>
          <w:sz w:val="22"/>
        </w:rPr>
        <w:t xml:space="preserve">[16] A. Radford, J. W. Kim, T. Xu, G. Brockman, C. McLeavey, and I. Sutskever, "Robust speech recognition via large-scale weak supervision," in </w:t>
      </w:r>
      <w:r>
        <w:rPr>
          <w:rFonts w:ascii="Times New Roman" w:hAnsi="Times New Roman" w:cs="Times New Roman"/>
          <w:b w:val="0"/>
          <w:i/>
          <w:sz w:val="22"/>
        </w:rPr>
        <w:t>Proc. 40th International Conference on Machine Learning (ICML)</w:t>
      </w:r>
      <w:r>
        <w:rPr>
          <w:rFonts w:ascii="Times New Roman" w:hAnsi="Times New Roman" w:cs="Times New Roman"/>
          <w:b w:val="0"/>
          <w:i w:val="0"/>
          <w:sz w:val="22"/>
        </w:rPr>
        <w:t>, PMLR vol. 202, 2023, pp. 28492–28518.</w:t>
      </w:r>
    </w:p>
    <w:p>
      <w:pPr>
        <w:spacing w:after="80" w:line="288" w:lineRule="auto"/>
      </w:pPr>
      <w:r>
        <w:rPr>
          <w:rFonts w:ascii="Times New Roman" w:hAnsi="Times New Roman" w:cs="Times New Roman"/>
          <w:b w:val="0"/>
          <w:i w:val="0"/>
          <w:sz w:val="22"/>
        </w:rPr>
        <w:t xml:space="preserve">[17] V. Panayotov, G. Chen, D. Povey, and S. Khudanpur, "LibriSpeech: an ASR corpus based on public domain audio books," in </w:t>
      </w:r>
      <w:r>
        <w:rPr>
          <w:rFonts w:ascii="Times New Roman" w:hAnsi="Times New Roman" w:cs="Times New Roman"/>
          <w:b w:val="0"/>
          <w:i/>
          <w:sz w:val="22"/>
        </w:rPr>
        <w:t>Proc. ICASSP</w:t>
      </w:r>
      <w:r>
        <w:rPr>
          <w:rFonts w:ascii="Times New Roman" w:hAnsi="Times New Roman" w:cs="Times New Roman"/>
          <w:b w:val="0"/>
          <w:i w:val="0"/>
          <w:sz w:val="22"/>
        </w:rPr>
        <w:t>, 2015, pp. 5206–5210, doi: 10.1109/ICASSP.2015.7178964.</w:t>
      </w:r>
    </w:p>
    <w:p>
      <w:pPr>
        <w:spacing w:after="80" w:line="288" w:lineRule="auto"/>
      </w:pPr>
      <w:r>
        <w:rPr>
          <w:rFonts w:ascii="Times New Roman" w:hAnsi="Times New Roman" w:cs="Times New Roman"/>
          <w:b w:val="0"/>
          <w:i w:val="0"/>
          <w:sz w:val="22"/>
        </w:rPr>
        <w:t xml:space="preserve">[18] J. Carletta, S. Ashby, S. Bourban, M. Flynn, M. Guillemot, T. Hain, J. Kadlec, V. Karaiskos, W. Kraaij, M. Kronenthal, et al., "The AMI Meeting Corpus: a pre-announcement," in </w:t>
      </w:r>
      <w:r>
        <w:rPr>
          <w:rFonts w:ascii="Times New Roman" w:hAnsi="Times New Roman" w:cs="Times New Roman"/>
          <w:b w:val="0"/>
          <w:i/>
          <w:sz w:val="22"/>
        </w:rPr>
        <w:t>Machine Learning for Multimodal Interaction (MLMI 2005)</w:t>
      </w:r>
      <w:r>
        <w:rPr>
          <w:rFonts w:ascii="Times New Roman" w:hAnsi="Times New Roman" w:cs="Times New Roman"/>
          <w:b w:val="0"/>
          <w:i w:val="0"/>
          <w:sz w:val="22"/>
        </w:rPr>
        <w:t>, LNCS vol. 3869, Springer, 2006, pp. 28–39, doi: 10.1007/11677482_3.</w:t>
      </w:r>
    </w:p>
    <w:p>
      <w:pPr>
        <w:spacing w:after="80" w:line="288" w:lineRule="auto"/>
      </w:pPr>
      <w:r>
        <w:rPr>
          <w:rFonts w:ascii="Times New Roman" w:hAnsi="Times New Roman" w:cs="Times New Roman"/>
          <w:b w:val="0"/>
          <w:i w:val="0"/>
          <w:sz w:val="22"/>
        </w:rPr>
        <w:t xml:space="preserve">[19] J. S. Chung, A. Nagrani, and A. Zisserman, "VoxCeleb2: deep speaker recognition," in </w:t>
      </w:r>
      <w:r>
        <w:rPr>
          <w:rFonts w:ascii="Times New Roman" w:hAnsi="Times New Roman" w:cs="Times New Roman"/>
          <w:b w:val="0"/>
          <w:i/>
          <w:sz w:val="22"/>
        </w:rPr>
        <w:t>Proc. Interspeech</w:t>
      </w:r>
      <w:r>
        <w:rPr>
          <w:rFonts w:ascii="Times New Roman" w:hAnsi="Times New Roman" w:cs="Times New Roman"/>
          <w:b w:val="0"/>
          <w:i w:val="0"/>
          <w:sz w:val="22"/>
        </w:rPr>
        <w:t>, 2018, pp. 1086–1090.</w:t>
      </w:r>
    </w:p>
    <w:p>
      <w:pPr>
        <w:spacing w:after="80" w:line="288" w:lineRule="auto"/>
      </w:pPr>
      <w:r>
        <w:rPr>
          <w:rFonts w:ascii="Times New Roman" w:hAnsi="Times New Roman" w:cs="Times New Roman"/>
          <w:b w:val="0"/>
          <w:i w:val="0"/>
          <w:sz w:val="22"/>
        </w:rPr>
        <w:t xml:space="preserve">[20] J. Jung, H.-S. Heo, Y. Kwon, J. S. Chung, and B.-J. Lee, "Three-class overlapped speech detection using a convolutional recurrent neural network," in </w:t>
      </w:r>
      <w:r>
        <w:rPr>
          <w:rFonts w:ascii="Times New Roman" w:hAnsi="Times New Roman" w:cs="Times New Roman"/>
          <w:b w:val="0"/>
          <w:i/>
          <w:sz w:val="22"/>
        </w:rPr>
        <w:t>Proc. Interspeech</w:t>
      </w:r>
      <w:r>
        <w:rPr>
          <w:rFonts w:ascii="Times New Roman" w:hAnsi="Times New Roman" w:cs="Times New Roman"/>
          <w:b w:val="0"/>
          <w:i w:val="0"/>
          <w:sz w:val="22"/>
        </w:rPr>
        <w:t>, 2021, pp. 3086–3090, doi: 10.21437/Interspeech.2021-1064.</w:t>
      </w:r>
    </w:p>
    <w:p>
      <w:pPr>
        <w:spacing w:after="80" w:line="288" w:lineRule="auto"/>
      </w:pPr>
      <w:r>
        <w:rPr>
          <w:rFonts w:ascii="Times New Roman" w:hAnsi="Times New Roman" w:cs="Times New Roman"/>
          <w:b w:val="0"/>
          <w:i w:val="0"/>
          <w:sz w:val="22"/>
        </w:rPr>
        <w:t xml:space="preserve">[21] D. Snyder, D. Garcia-Romero, G. Sell, D. Povey, and S. Khudanpur, "X-vectors: robust DNN embeddings for speaker recognition," in </w:t>
      </w:r>
      <w:r>
        <w:rPr>
          <w:rFonts w:ascii="Times New Roman" w:hAnsi="Times New Roman" w:cs="Times New Roman"/>
          <w:b w:val="0"/>
          <w:i/>
          <w:sz w:val="22"/>
        </w:rPr>
        <w:t>Proc. ICASSP</w:t>
      </w:r>
      <w:r>
        <w:rPr>
          <w:rFonts w:ascii="Times New Roman" w:hAnsi="Times New Roman" w:cs="Times New Roman"/>
          <w:b w:val="0"/>
          <w:i w:val="0"/>
          <w:sz w:val="22"/>
        </w:rPr>
        <w:t>, 2018, pp. 5329–5333, doi: 10.1109/ICASSP.2018.8461375.</w:t>
      </w:r>
    </w:p>
    <w:p>
      <w:pPr>
        <w:spacing w:after="80" w:line="288" w:lineRule="auto"/>
      </w:pPr>
      <w:r>
        <w:rPr>
          <w:rFonts w:ascii="Times New Roman" w:hAnsi="Times New Roman" w:cs="Times New Roman"/>
          <w:b w:val="0"/>
          <w:i w:val="0"/>
          <w:sz w:val="22"/>
        </w:rPr>
        <w:t xml:space="preserve">[22] G. Saon, G. Kurata, T. Sercu, K. Audhkhasi, S. Thomas, D. Dimitriadis, X. Cui, B. Ramabhadran, M. Picheny, L.-L. Lim, B. Roomi, and P. Hall, "English conversational telephone speech recognition by humans and machines," in </w:t>
      </w:r>
      <w:r>
        <w:rPr>
          <w:rFonts w:ascii="Times New Roman" w:hAnsi="Times New Roman" w:cs="Times New Roman"/>
          <w:b w:val="0"/>
          <w:i/>
          <w:sz w:val="22"/>
        </w:rPr>
        <w:t>Proc. Interspeech</w:t>
      </w:r>
      <w:r>
        <w:rPr>
          <w:rFonts w:ascii="Times New Roman" w:hAnsi="Times New Roman" w:cs="Times New Roman"/>
          <w:b w:val="0"/>
          <w:i w:val="0"/>
          <w:sz w:val="22"/>
        </w:rPr>
        <w:t>, 2017, pp. 132–136, doi: 10.21437/Interspeech.2017-405.</w:t>
      </w:r>
    </w:p>
    <w:p>
      <w:pPr>
        <w:spacing w:after="80" w:line="288" w:lineRule="auto"/>
      </w:pPr>
      <w:r>
        <w:rPr>
          <w:rFonts w:ascii="Times New Roman" w:hAnsi="Times New Roman" w:cs="Times New Roman"/>
          <w:b w:val="0"/>
          <w:i w:val="0"/>
          <w:sz w:val="22"/>
        </w:rPr>
        <w:t xml:space="preserve">[23] J. S. Chung and A. Zisserman, "Lip reading in the wild," in </w:t>
      </w:r>
      <w:r>
        <w:rPr>
          <w:rFonts w:ascii="Times New Roman" w:hAnsi="Times New Roman" w:cs="Times New Roman"/>
          <w:b w:val="0"/>
          <w:i/>
          <w:sz w:val="22"/>
        </w:rPr>
        <w:t>Proc. Asian Conference on Computer Vision (ACCV)</w:t>
      </w:r>
      <w:r>
        <w:rPr>
          <w:rFonts w:ascii="Times New Roman" w:hAnsi="Times New Roman" w:cs="Times New Roman"/>
          <w:b w:val="0"/>
          <w:i w:val="0"/>
          <w:sz w:val="22"/>
        </w:rPr>
        <w:t>, LNCS vol. 10112, Springer, 2016, pp. 87–103, doi: 10.1007/978-3-319-54184-6_6.</w:t>
      </w:r>
    </w:p>
    <w:p>
      <w:pPr>
        <w:spacing w:after="80" w:line="288" w:lineRule="auto"/>
      </w:pPr>
      <w:r>
        <w:rPr>
          <w:rFonts w:ascii="Times New Roman" w:hAnsi="Times New Roman" w:cs="Times New Roman"/>
          <w:b w:val="0"/>
          <w:i w:val="0"/>
          <w:sz w:val="22"/>
        </w:rPr>
        <w:t xml:space="preserve">[24] C. Dwork and A. Roth, "The algorithmic foundations of differential privacy," </w:t>
      </w:r>
      <w:r>
        <w:rPr>
          <w:rFonts w:ascii="Times New Roman" w:hAnsi="Times New Roman" w:cs="Times New Roman"/>
          <w:b w:val="0"/>
          <w:i/>
          <w:sz w:val="22"/>
        </w:rPr>
        <w:t>Foundations and Trends in Theoretical Computer Science</w:t>
      </w:r>
      <w:r>
        <w:rPr>
          <w:rFonts w:ascii="Times New Roman" w:hAnsi="Times New Roman" w:cs="Times New Roman"/>
          <w:b w:val="0"/>
          <w:i w:val="0"/>
          <w:sz w:val="22"/>
        </w:rPr>
        <w:t>, vol. 9, nos. 3–4, pp. 211–407, 2014, doi: 10.1561/0400000042.</w:t>
      </w:r>
    </w:p>
    <w:p>
      <w:pPr>
        <w:spacing w:after="80" w:line="288" w:lineRule="auto"/>
      </w:pPr>
      <w:r>
        <w:rPr>
          <w:rFonts w:ascii="Times New Roman" w:hAnsi="Times New Roman" w:cs="Times New Roman"/>
          <w:b w:val="0"/>
          <w:i w:val="0"/>
          <w:sz w:val="22"/>
        </w:rPr>
        <w:t xml:space="preserve">[25] H. B. McMahan, E. Moore, D. Ramage, S. Hampson, and B. Agüera y Arcas, "Communication-efficient learning of deep networks from decentralized data," in </w:t>
      </w:r>
      <w:r>
        <w:rPr>
          <w:rFonts w:ascii="Times New Roman" w:hAnsi="Times New Roman" w:cs="Times New Roman"/>
          <w:b w:val="0"/>
          <w:i/>
          <w:sz w:val="22"/>
        </w:rPr>
        <w:t>Proc. 20th International Conference on Artificial Intelligence and Statistics (AISTATS)</w:t>
      </w:r>
      <w:r>
        <w:rPr>
          <w:rFonts w:ascii="Times New Roman" w:hAnsi="Times New Roman" w:cs="Times New Roman"/>
          <w:b w:val="0"/>
          <w:i w:val="0"/>
          <w:sz w:val="22"/>
        </w:rPr>
        <w:t>, PMLR vol. 54, 2017, pp. 1273–1282.</w:t>
      </w:r>
    </w:p>
    <w:p>
      <w:pPr>
        <w:spacing w:after="80" w:line="288" w:lineRule="auto"/>
      </w:pPr>
      <w:r>
        <w:rPr>
          <w:rFonts w:ascii="Times New Roman" w:hAnsi="Times New Roman" w:cs="Times New Roman"/>
          <w:b w:val="0"/>
          <w:i w:val="0"/>
          <w:sz w:val="22"/>
        </w:rPr>
        <w:t xml:space="preserve">[26] K. Bonawitz, V. Ivanov, B. Kreuter, A. Marcedone, H. B. McMahan, S. Patel, D. Ramage, A. Segal, and K. Seth, "Practical secure aggregation for privacy-preserving machine learning," in </w:t>
      </w:r>
      <w:r>
        <w:rPr>
          <w:rFonts w:ascii="Times New Roman" w:hAnsi="Times New Roman" w:cs="Times New Roman"/>
          <w:b w:val="0"/>
          <w:i/>
          <w:sz w:val="22"/>
        </w:rPr>
        <w:t>Proc. 2017 ACM SIGSAC Conference on Computer and Communications Security (CCS)</w:t>
      </w:r>
      <w:r>
        <w:rPr>
          <w:rFonts w:ascii="Times New Roman" w:hAnsi="Times New Roman" w:cs="Times New Roman"/>
          <w:b w:val="0"/>
          <w:i w:val="0"/>
          <w:sz w:val="22"/>
        </w:rPr>
        <w:t>, 2017, pp. 1175–1191, doi: 10.1145/3133956.3133982.</w:t>
      </w:r>
    </w:p>
    <w:p>
      <w:pPr>
        <w:spacing w:after="80" w:line="288" w:lineRule="auto"/>
      </w:pPr>
      <w:r>
        <w:rPr>
          <w:rFonts w:ascii="Times New Roman" w:hAnsi="Times New Roman" w:cs="Times New Roman"/>
          <w:b w:val="0"/>
          <w:i w:val="0"/>
          <w:sz w:val="22"/>
        </w:rPr>
        <w:t xml:space="preserve">[27] L. Du, J. Jia, X. Zhang, and G. Lan, "PrivateGaze: preserving user privacy in black-box mobile gaze tracking services," </w:t>
      </w:r>
      <w:r>
        <w:rPr>
          <w:rFonts w:ascii="Times New Roman" w:hAnsi="Times New Roman" w:cs="Times New Roman"/>
          <w:b w:val="0"/>
          <w:i/>
          <w:sz w:val="22"/>
        </w:rPr>
        <w:t>Proceedings of the ACM on Interactive, Mobile, Wearable and Ubiquitous Technologies (IMWUT)</w:t>
      </w:r>
      <w:r>
        <w:rPr>
          <w:rFonts w:ascii="Times New Roman" w:hAnsi="Times New Roman" w:cs="Times New Roman"/>
          <w:b w:val="0"/>
          <w:i w:val="0"/>
          <w:sz w:val="22"/>
        </w:rPr>
        <w:t>, vol. 8, no. 3, art. 102, 2024, doi: 10.1145/3678595.</w:t>
      </w:r>
    </w:p>
    <w:p>
      <w:pPr>
        <w:spacing w:after="80" w:line="288" w:lineRule="auto"/>
      </w:pPr>
      <w:r>
        <w:rPr>
          <w:rFonts w:ascii="Times New Roman" w:hAnsi="Times New Roman" w:cs="Times New Roman"/>
          <w:b w:val="0"/>
          <w:i w:val="0"/>
          <w:sz w:val="22"/>
        </w:rPr>
        <w:t xml:space="preserve">[28] E. Bozkir, A. Burgert, E. Kasneci, and G. Kasneci, "Differential privacy for eye tracking with temporal correlations," </w:t>
      </w:r>
      <w:r>
        <w:rPr>
          <w:rFonts w:ascii="Times New Roman" w:hAnsi="Times New Roman" w:cs="Times New Roman"/>
          <w:b w:val="0"/>
          <w:i/>
          <w:sz w:val="22"/>
        </w:rPr>
        <w:t>PLOS ONE</w:t>
      </w:r>
      <w:r>
        <w:rPr>
          <w:rFonts w:ascii="Times New Roman" w:hAnsi="Times New Roman" w:cs="Times New Roman"/>
          <w:b w:val="0"/>
          <w:i w:val="0"/>
          <w:sz w:val="22"/>
        </w:rPr>
        <w:t>, vol. 16, no. 8, p. e0255979, 2021, doi: 10.1371/journal.pone.0255979.</w:t>
      </w:r>
    </w:p>
    <w:p>
      <w:pPr>
        <w:spacing w:after="80" w:line="288" w:lineRule="auto"/>
      </w:pPr>
      <w:r>
        <w:rPr>
          <w:rFonts w:ascii="Times New Roman" w:hAnsi="Times New Roman" w:cs="Times New Roman"/>
          <w:b w:val="0"/>
          <w:i w:val="0"/>
          <w:sz w:val="22"/>
        </w:rPr>
        <w:t xml:space="preserve">[29] B. David, P. Liu, and others, "Privacy-aware eye tracking using differential privacy," in </w:t>
      </w:r>
      <w:r>
        <w:rPr>
          <w:rFonts w:ascii="Times New Roman" w:hAnsi="Times New Roman" w:cs="Times New Roman"/>
          <w:b w:val="0"/>
          <w:i/>
          <w:sz w:val="22"/>
        </w:rPr>
        <w:t>Proc. ACM Symposium on Eye Tracking Research and Applications (ETRA)</w:t>
      </w:r>
      <w:r>
        <w:rPr>
          <w:rFonts w:ascii="Times New Roman" w:hAnsi="Times New Roman" w:cs="Times New Roman"/>
          <w:b w:val="0"/>
          <w:i w:val="0"/>
          <w:sz w:val="22"/>
        </w:rPr>
        <w:t>, 2019, pp. 1–9, doi: 10.1145/3314111.3319915.</w:t>
      </w:r>
    </w:p>
    <w:p>
      <w:pPr>
        <w:spacing w:after="80" w:line="288" w:lineRule="auto"/>
      </w:pPr>
      <w:r>
        <w:rPr>
          <w:rFonts w:ascii="Times New Roman" w:hAnsi="Times New Roman" w:cs="Times New Roman"/>
          <w:b w:val="0"/>
          <w:i w:val="0"/>
          <w:sz w:val="22"/>
        </w:rPr>
        <w:t xml:space="preserve">[30] H. Crawford, K. Renaud, and T. Storer, "A framework for continuous, transparent mobile device authentication," </w:t>
      </w:r>
      <w:r>
        <w:rPr>
          <w:rFonts w:ascii="Times New Roman" w:hAnsi="Times New Roman" w:cs="Times New Roman"/>
          <w:b w:val="0"/>
          <w:i/>
          <w:sz w:val="22"/>
        </w:rPr>
        <w:t>Computers &amp; Security</w:t>
      </w:r>
      <w:r>
        <w:rPr>
          <w:rFonts w:ascii="Times New Roman" w:hAnsi="Times New Roman" w:cs="Times New Roman"/>
          <w:b w:val="0"/>
          <w:i w:val="0"/>
          <w:sz w:val="22"/>
        </w:rPr>
        <w:t>, vol. 39, part B, pp. 127–136, 2013, doi: 10.1016/j.cose.2013.05.005.</w:t>
      </w:r>
    </w:p>
    <w:p>
      <w:pPr>
        <w:spacing w:after="80" w:line="288" w:lineRule="auto"/>
      </w:pPr>
      <w:r>
        <w:rPr>
          <w:rFonts w:ascii="Times New Roman" w:hAnsi="Times New Roman" w:cs="Times New Roman"/>
          <w:b w:val="0"/>
          <w:i w:val="0"/>
          <w:sz w:val="22"/>
        </w:rPr>
        <w:t xml:space="preserve">[31] N. Sae-Bae, K. Ahmed, K. Isbister, and N. Memon, "Biometric-rich gestures: a novel approach to authentication on multi-touch devices," in </w:t>
      </w:r>
      <w:r>
        <w:rPr>
          <w:rFonts w:ascii="Times New Roman" w:hAnsi="Times New Roman" w:cs="Times New Roman"/>
          <w:b w:val="0"/>
          <w:i/>
          <w:sz w:val="22"/>
        </w:rPr>
        <w:t>Proc. ACM CHI Conference</w:t>
      </w:r>
      <w:r>
        <w:rPr>
          <w:rFonts w:ascii="Times New Roman" w:hAnsi="Times New Roman" w:cs="Times New Roman"/>
          <w:b w:val="0"/>
          <w:i w:val="0"/>
          <w:sz w:val="22"/>
        </w:rPr>
        <w:t>, 2012, pp. 977–986, doi: 10.1145/2207676.2208543.</w:t>
      </w:r>
    </w:p>
    <w:p>
      <w:pPr>
        <w:spacing w:after="80" w:line="288" w:lineRule="auto"/>
      </w:pPr>
      <w:r>
        <w:rPr>
          <w:rFonts w:ascii="Times New Roman" w:hAnsi="Times New Roman" w:cs="Times New Roman"/>
          <w:b w:val="0"/>
          <w:i w:val="0"/>
          <w:sz w:val="22"/>
        </w:rPr>
        <w:t>[32] Commission Nationale de l'Informatique et des Libertés (CNIL), "Délibération SAN-2022-018 du 17 novembre 2022," Paris, France, 2022. [Online]. Available: https://www.cnil.fr/</w:t>
      </w:r>
    </w:p>
    <w:p>
      <w:pPr>
        <w:spacing w:after="80" w:line="288" w:lineRule="auto"/>
      </w:pPr>
      <w:r>
        <w:rPr>
          <w:rFonts w:ascii="Times New Roman" w:hAnsi="Times New Roman" w:cs="Times New Roman"/>
          <w:b w:val="0"/>
          <w:i w:val="0"/>
          <w:sz w:val="22"/>
        </w:rPr>
        <w:t xml:space="preserve">[33] J. Redmon, S. Divvala, R. Girshick, and A. Farhadi, "You only look once: unified, real-time object detection," in </w:t>
      </w:r>
      <w:r>
        <w:rPr>
          <w:rFonts w:ascii="Times New Roman" w:hAnsi="Times New Roman" w:cs="Times New Roman"/>
          <w:b w:val="0"/>
          <w:i/>
          <w:sz w:val="22"/>
        </w:rPr>
        <w:t>Proc. IEEE CVPR</w:t>
      </w:r>
      <w:r>
        <w:rPr>
          <w:rFonts w:ascii="Times New Roman" w:hAnsi="Times New Roman" w:cs="Times New Roman"/>
          <w:b w:val="0"/>
          <w:i w:val="0"/>
          <w:sz w:val="22"/>
        </w:rPr>
        <w:t>, 2016, pp. 779–788, doi: 10.1109/CVPR.2016.91.</w:t>
      </w:r>
    </w:p>
    <w:p>
      <w:pPr>
        <w:spacing w:after="80" w:line="288" w:lineRule="auto"/>
      </w:pPr>
      <w:r>
        <w:rPr>
          <w:rFonts w:ascii="Times New Roman" w:hAnsi="Times New Roman" w:cs="Times New Roman"/>
          <w:b w:val="0"/>
          <w:i w:val="0"/>
          <w:sz w:val="22"/>
        </w:rPr>
        <w:t xml:space="preserve">[34] J. Redmon and A. Farhadi, "YOLOv3: an incremental improvement," </w:t>
      </w:r>
      <w:r>
        <w:rPr>
          <w:rFonts w:ascii="Times New Roman" w:hAnsi="Times New Roman" w:cs="Times New Roman"/>
          <w:b w:val="0"/>
          <w:i/>
          <w:sz w:val="22"/>
        </w:rPr>
        <w:t>arXiv preprint</w:t>
      </w:r>
      <w:r>
        <w:rPr>
          <w:rFonts w:ascii="Times New Roman" w:hAnsi="Times New Roman" w:cs="Times New Roman"/>
          <w:b w:val="0"/>
          <w:i w:val="0"/>
          <w:sz w:val="22"/>
        </w:rPr>
        <w:t>, arXiv:1804.02767, 2018.</w:t>
      </w:r>
    </w:p>
    <w:p>
      <w:pPr>
        <w:spacing w:after="80" w:line="288" w:lineRule="auto"/>
      </w:pPr>
      <w:r>
        <w:rPr>
          <w:rFonts w:ascii="Times New Roman" w:hAnsi="Times New Roman" w:cs="Times New Roman"/>
          <w:b w:val="0"/>
          <w:i w:val="0"/>
          <w:sz w:val="22"/>
        </w:rPr>
        <w:t xml:space="preserve">[35] Y. Kortli, M. Jridi, A. Al Falou, and M. Atri, "Face recognition systems: a survey," </w:t>
      </w:r>
      <w:r>
        <w:rPr>
          <w:rFonts w:ascii="Times New Roman" w:hAnsi="Times New Roman" w:cs="Times New Roman"/>
          <w:b w:val="0"/>
          <w:i/>
          <w:sz w:val="22"/>
        </w:rPr>
        <w:t>Sensors</w:t>
      </w:r>
      <w:r>
        <w:rPr>
          <w:rFonts w:ascii="Times New Roman" w:hAnsi="Times New Roman" w:cs="Times New Roman"/>
          <w:b w:val="0"/>
          <w:i w:val="0"/>
          <w:sz w:val="22"/>
        </w:rPr>
        <w:t>, vol. 20, no. 2, p. 342, 2020, doi: 10.3390/s20020342.</w:t>
      </w:r>
    </w:p>
    <w:p>
      <w:pPr>
        <w:spacing w:after="80" w:line="288" w:lineRule="auto"/>
      </w:pPr>
      <w:r>
        <w:rPr>
          <w:rFonts w:ascii="Times New Roman" w:hAnsi="Times New Roman" w:cs="Times New Roman"/>
          <w:b w:val="0"/>
          <w:i w:val="0"/>
          <w:sz w:val="22"/>
        </w:rPr>
        <w:t xml:space="preserve">[36] T.-Y. Kim, H. Ko, S.-H. Kim, and H.-D. Kim, "Modelling of advanced driver assistance systems—pedestrian detection from camera images for ADAS," </w:t>
      </w:r>
      <w:r>
        <w:rPr>
          <w:rFonts w:ascii="Times New Roman" w:hAnsi="Times New Roman" w:cs="Times New Roman"/>
          <w:b w:val="0"/>
          <w:i/>
          <w:sz w:val="22"/>
        </w:rPr>
        <w:t>Sensors</w:t>
      </w:r>
      <w:r>
        <w:rPr>
          <w:rFonts w:ascii="Times New Roman" w:hAnsi="Times New Roman" w:cs="Times New Roman"/>
          <w:b w:val="0"/>
          <w:i w:val="0"/>
          <w:sz w:val="22"/>
        </w:rPr>
        <w:t>, vol. 20, no. 11, p. 3122, 2020, doi: 10.3390/s20113122.</w:t>
      </w:r>
    </w:p>
    <w:p>
      <w:pPr>
        <w:spacing w:after="80" w:line="288" w:lineRule="auto"/>
      </w:pPr>
      <w:r>
        <w:rPr>
          <w:rFonts w:ascii="Times New Roman" w:hAnsi="Times New Roman" w:cs="Times New Roman"/>
          <w:b w:val="0"/>
          <w:i w:val="0"/>
          <w:sz w:val="22"/>
        </w:rPr>
        <w:t xml:space="preserve">[37] H. Vatsalan, K. Christen, and V. S. Verykios, "Privacy-preserving record linkage techniques for health care: a survey," </w:t>
      </w:r>
      <w:r>
        <w:rPr>
          <w:rFonts w:ascii="Times New Roman" w:hAnsi="Times New Roman" w:cs="Times New Roman"/>
          <w:b w:val="0"/>
          <w:i/>
          <w:sz w:val="22"/>
        </w:rPr>
        <w:t>Journal of Biomedical Informatics</w:t>
      </w:r>
      <w:r>
        <w:rPr>
          <w:rFonts w:ascii="Times New Roman" w:hAnsi="Times New Roman" w:cs="Times New Roman"/>
          <w:b w:val="0"/>
          <w:i w:val="0"/>
          <w:sz w:val="22"/>
        </w:rPr>
        <w:t>, vol. 50, pp. 4–19, 2017, doi: 10.1016/j.jbi.2017.04.012.</w:t>
      </w:r>
    </w:p>
    <w:p>
      <w:pPr>
        <w:spacing w:after="80" w:line="288" w:lineRule="auto"/>
      </w:pPr>
      <w:r>
        <w:rPr>
          <w:rFonts w:ascii="Times New Roman" w:hAnsi="Times New Roman" w:cs="Times New Roman"/>
          <w:b w:val="0"/>
          <w:i w:val="0"/>
          <w:sz w:val="22"/>
        </w:rPr>
        <w:t xml:space="preserve">[38] L. Sweeney, "k-Anonymity: a model for protecting privacy," </w:t>
      </w:r>
      <w:r>
        <w:rPr>
          <w:rFonts w:ascii="Times New Roman" w:hAnsi="Times New Roman" w:cs="Times New Roman"/>
          <w:b w:val="0"/>
          <w:i/>
          <w:sz w:val="22"/>
        </w:rPr>
        <w:t>International Journal of Uncertainty, Fuzziness and Knowledge-Based Systems</w:t>
      </w:r>
      <w:r>
        <w:rPr>
          <w:rFonts w:ascii="Times New Roman" w:hAnsi="Times New Roman" w:cs="Times New Roman"/>
          <w:b w:val="0"/>
          <w:i w:val="0"/>
          <w:sz w:val="22"/>
        </w:rPr>
        <w:t>, vol. 10, no. 5, pp. 557–570, 2002, doi: 10.1142/S0218488502001648.</w:t>
      </w:r>
    </w:p>
    <w:p>
      <w:pPr>
        <w:spacing w:after="80" w:line="288" w:lineRule="auto"/>
      </w:pPr>
      <w:r>
        <w:rPr>
          <w:rFonts w:ascii="Times New Roman" w:hAnsi="Times New Roman" w:cs="Times New Roman"/>
          <w:b w:val="0"/>
          <w:i w:val="0"/>
          <w:sz w:val="22"/>
        </w:rPr>
        <w:t xml:space="preserve">[39] C. Dwork, F. McSherry, K. Nissim, and A. Smith, "Calibrating noise to sensitivity in private data analysis," in </w:t>
      </w:r>
      <w:r>
        <w:rPr>
          <w:rFonts w:ascii="Times New Roman" w:hAnsi="Times New Roman" w:cs="Times New Roman"/>
          <w:b w:val="0"/>
          <w:i/>
          <w:sz w:val="22"/>
        </w:rPr>
        <w:t>Proc. Theory of Cryptography Conference (TCC)</w:t>
      </w:r>
      <w:r>
        <w:rPr>
          <w:rFonts w:ascii="Times New Roman" w:hAnsi="Times New Roman" w:cs="Times New Roman"/>
          <w:b w:val="0"/>
          <w:i w:val="0"/>
          <w:sz w:val="22"/>
        </w:rPr>
        <w:t>, LNCS vol. 3876, Springer, 2006, pp. 265–284, doi: 10.1007/11681878_14.</w:t>
      </w:r>
    </w:p>
    <w:p>
      <w:pPr>
        <w:spacing w:after="80" w:line="288" w:lineRule="auto"/>
      </w:pPr>
      <w:r>
        <w:rPr>
          <w:rFonts w:ascii="Times New Roman" w:hAnsi="Times New Roman" w:cs="Times New Roman"/>
          <w:b w:val="0"/>
          <w:i w:val="0"/>
          <w:sz w:val="22"/>
        </w:rPr>
        <w:t xml:space="preserve">[40] G. Bradski, "The OpenCV library," </w:t>
      </w:r>
      <w:r>
        <w:rPr>
          <w:rFonts w:ascii="Times New Roman" w:hAnsi="Times New Roman" w:cs="Times New Roman"/>
          <w:b w:val="0"/>
          <w:i/>
          <w:sz w:val="22"/>
        </w:rPr>
        <w:t>Dr. Dobb's Journal of Software Tools</w:t>
      </w:r>
      <w:r>
        <w:rPr>
          <w:rFonts w:ascii="Times New Roman" w:hAnsi="Times New Roman" w:cs="Times New Roman"/>
          <w:b w:val="0"/>
          <w:i w:val="0"/>
          <w:sz w:val="22"/>
        </w:rPr>
        <w:t>, vol. 25, no. 11, pp. 120–125, 2000.</w:t>
      </w:r>
    </w:p>
    <w:p>
      <w:pPr>
        <w:spacing w:after="80" w:line="288" w:lineRule="auto"/>
      </w:pPr>
      <w:r>
        <w:rPr>
          <w:rFonts w:ascii="Times New Roman" w:hAnsi="Times New Roman" w:cs="Times New Roman"/>
          <w:b w:val="0"/>
          <w:i w:val="0"/>
          <w:sz w:val="22"/>
        </w:rPr>
        <w:t xml:space="preserve">[41] A. Paszke, S. Gross, F. Massa, A. Lerer, J. Bradbury, G. Chanan, et al., "PyTorch: an imperative style, high-performance deep learning library," in </w:t>
      </w:r>
      <w:r>
        <w:rPr>
          <w:rFonts w:ascii="Times New Roman" w:hAnsi="Times New Roman" w:cs="Times New Roman"/>
          <w:b w:val="0"/>
          <w:i/>
          <w:sz w:val="22"/>
        </w:rPr>
        <w:t>Advances in Neural Information Processing Systems (NeurIPS)</w:t>
      </w:r>
      <w:r>
        <w:rPr>
          <w:rFonts w:ascii="Times New Roman" w:hAnsi="Times New Roman" w:cs="Times New Roman"/>
          <w:b w:val="0"/>
          <w:i w:val="0"/>
          <w:sz w:val="22"/>
        </w:rPr>
        <w:t>, 2019, pp. 8024–8035.</w:t>
      </w:r>
    </w:p>
    <w:p>
      <w:pPr>
        <w:spacing w:after="80" w:line="288" w:lineRule="auto"/>
      </w:pPr>
      <w:r>
        <w:rPr>
          <w:rFonts w:ascii="Times New Roman" w:hAnsi="Times New Roman" w:cs="Times New Roman"/>
          <w:b w:val="0"/>
          <w:i w:val="0"/>
          <w:sz w:val="22"/>
        </w:rPr>
        <w:t xml:space="preserve">[42] F. Pedregosa, G. Varoquaux, A. Gramfort, V. Michel, B. Thirion, et al., "Scikit-learn: machine learning in Python," </w:t>
      </w:r>
      <w:r>
        <w:rPr>
          <w:rFonts w:ascii="Times New Roman" w:hAnsi="Times New Roman" w:cs="Times New Roman"/>
          <w:b w:val="0"/>
          <w:i/>
          <w:sz w:val="22"/>
        </w:rPr>
        <w:t>Journal of Machine Learning Research</w:t>
      </w:r>
      <w:r>
        <w:rPr>
          <w:rFonts w:ascii="Times New Roman" w:hAnsi="Times New Roman" w:cs="Times New Roman"/>
          <w:b w:val="0"/>
          <w:i w:val="0"/>
          <w:sz w:val="22"/>
        </w:rPr>
        <w:t>, vol. 12, pp. 2825–2830, 2011.</w:t>
      </w:r>
    </w:p>
    <w:p>
      <w:pPr>
        <w:spacing w:after="80" w:line="288" w:lineRule="auto"/>
      </w:pPr>
      <w:r>
        <w:rPr>
          <w:rFonts w:ascii="Times New Roman" w:hAnsi="Times New Roman" w:cs="Times New Roman"/>
          <w:b w:val="0"/>
          <w:i w:val="0"/>
          <w:sz w:val="22"/>
        </w:rPr>
        <w:t xml:space="preserve">[43] L. Breiman, "Random forests," </w:t>
      </w:r>
      <w:r>
        <w:rPr>
          <w:rFonts w:ascii="Times New Roman" w:hAnsi="Times New Roman" w:cs="Times New Roman"/>
          <w:b w:val="0"/>
          <w:i/>
          <w:sz w:val="22"/>
        </w:rPr>
        <w:t>Machine Learning</w:t>
      </w:r>
      <w:r>
        <w:rPr>
          <w:rFonts w:ascii="Times New Roman" w:hAnsi="Times New Roman" w:cs="Times New Roman"/>
          <w:b w:val="0"/>
          <w:i w:val="0"/>
          <w:sz w:val="22"/>
        </w:rPr>
        <w:t>, vol. 45, no. 1, pp. 5–32, 2001, doi: 10.1023/A:1010933404324.</w:t>
      </w:r>
    </w:p>
    <w:p>
      <w:pPr>
        <w:spacing w:after="80" w:line="288" w:lineRule="auto"/>
      </w:pPr>
      <w:r>
        <w:rPr>
          <w:rFonts w:ascii="Times New Roman" w:hAnsi="Times New Roman" w:cs="Times New Roman"/>
          <w:b w:val="0"/>
          <w:i w:val="0"/>
          <w:sz w:val="22"/>
        </w:rPr>
        <w:t xml:space="preserve">[44] B. Efron and R. Tibshirani, </w:t>
      </w:r>
      <w:r>
        <w:rPr>
          <w:rFonts w:ascii="Times New Roman" w:hAnsi="Times New Roman" w:cs="Times New Roman"/>
          <w:b w:val="0"/>
          <w:i/>
          <w:sz w:val="22"/>
        </w:rPr>
        <w:t>An Introduction to the Bootstrap</w:t>
      </w:r>
      <w:r>
        <w:rPr>
          <w:rFonts w:ascii="Times New Roman" w:hAnsi="Times New Roman" w:cs="Times New Roman"/>
          <w:b w:val="0"/>
          <w:i w:val="0"/>
          <w:sz w:val="22"/>
        </w:rPr>
        <w:t>. New York, NY, USA: Chapman &amp; Hall/CRC, 1993.</w:t>
      </w:r>
    </w:p>
    <w:p>
      <w:pPr>
        <w:spacing w:after="80" w:line="288" w:lineRule="auto"/>
      </w:pPr>
      <w:r>
        <w:rPr>
          <w:rFonts w:ascii="Times New Roman" w:hAnsi="Times New Roman" w:cs="Times New Roman"/>
          <w:b w:val="0"/>
          <w:i w:val="0"/>
          <w:sz w:val="22"/>
        </w:rPr>
        <w:t xml:space="preserve">[45] Q. McNemar, "Note on the sampling error of the difference between correlated proportions or percentages," </w:t>
      </w:r>
      <w:r>
        <w:rPr>
          <w:rFonts w:ascii="Times New Roman" w:hAnsi="Times New Roman" w:cs="Times New Roman"/>
          <w:b w:val="0"/>
          <w:i/>
          <w:sz w:val="22"/>
        </w:rPr>
        <w:t>Psychometrika</w:t>
      </w:r>
      <w:r>
        <w:rPr>
          <w:rFonts w:ascii="Times New Roman" w:hAnsi="Times New Roman" w:cs="Times New Roman"/>
          <w:b w:val="0"/>
          <w:i w:val="0"/>
          <w:sz w:val="22"/>
        </w:rPr>
        <w:t>, vol. 12, no. 2, pp. 153–157, 1947, doi: 10.1007/BF02295996.</w:t>
      </w:r>
    </w:p>
    <w:p>
      <w:pPr>
        <w:spacing w:after="80" w:line="288" w:lineRule="auto"/>
      </w:pPr>
      <w:r>
        <w:rPr>
          <w:rFonts w:ascii="Times New Roman" w:hAnsi="Times New Roman" w:cs="Times New Roman"/>
          <w:b w:val="0"/>
          <w:i w:val="0"/>
          <w:sz w:val="22"/>
        </w:rPr>
        <w:t xml:space="preserve">[46] T. Fawcett, "An introduction to ROC analysis," </w:t>
      </w:r>
      <w:r>
        <w:rPr>
          <w:rFonts w:ascii="Times New Roman" w:hAnsi="Times New Roman" w:cs="Times New Roman"/>
          <w:b w:val="0"/>
          <w:i/>
          <w:sz w:val="22"/>
        </w:rPr>
        <w:t>Pattern Recognition Letters</w:t>
      </w:r>
      <w:r>
        <w:rPr>
          <w:rFonts w:ascii="Times New Roman" w:hAnsi="Times New Roman" w:cs="Times New Roman"/>
          <w:b w:val="0"/>
          <w:i w:val="0"/>
          <w:sz w:val="22"/>
        </w:rPr>
        <w:t>, vol. 27, no. 8, pp. 861–874, 2006, doi: 10.1016/j.patrec.2005.10.010.</w:t>
      </w:r>
    </w:p>
    <w:p>
      <w:pPr>
        <w:spacing w:after="80" w:line="288" w:lineRule="auto"/>
      </w:pPr>
      <w:r>
        <w:rPr>
          <w:rFonts w:ascii="Times New Roman" w:hAnsi="Times New Roman" w:cs="Times New Roman"/>
          <w:b w:val="0"/>
          <w:i w:val="0"/>
          <w:sz w:val="22"/>
        </w:rPr>
        <w:t xml:space="preserve">[47] R. Müller, "On the foundations of ROC and PR curves," </w:t>
      </w:r>
      <w:r>
        <w:rPr>
          <w:rFonts w:ascii="Times New Roman" w:hAnsi="Times New Roman" w:cs="Times New Roman"/>
          <w:b w:val="0"/>
          <w:i/>
          <w:sz w:val="22"/>
        </w:rPr>
        <w:t>Journal of Machine Learning Research</w:t>
      </w:r>
      <w:r>
        <w:rPr>
          <w:rFonts w:ascii="Times New Roman" w:hAnsi="Times New Roman" w:cs="Times New Roman"/>
          <w:b w:val="0"/>
          <w:i w:val="0"/>
          <w:sz w:val="22"/>
        </w:rPr>
        <w:t>, vol. 23, no. 81, pp. 1–35, 2022.</w:t>
      </w:r>
    </w:p>
    <w:p>
      <w:pPr>
        <w:spacing w:after="80" w:line="288" w:lineRule="auto"/>
      </w:pPr>
      <w:r>
        <w:rPr>
          <w:rFonts w:ascii="Times New Roman" w:hAnsi="Times New Roman" w:cs="Times New Roman"/>
          <w:b w:val="0"/>
          <w:i w:val="0"/>
          <w:sz w:val="22"/>
        </w:rPr>
        <w:t xml:space="preserve">[48] J. Bergstra and Y. Bengio, "Random search for hyper-parameter optimization," </w:t>
      </w:r>
      <w:r>
        <w:rPr>
          <w:rFonts w:ascii="Times New Roman" w:hAnsi="Times New Roman" w:cs="Times New Roman"/>
          <w:b w:val="0"/>
          <w:i/>
          <w:sz w:val="22"/>
        </w:rPr>
        <w:t>Journal of Machine Learning Research</w:t>
      </w:r>
      <w:r>
        <w:rPr>
          <w:rFonts w:ascii="Times New Roman" w:hAnsi="Times New Roman" w:cs="Times New Roman"/>
          <w:b w:val="0"/>
          <w:i w:val="0"/>
          <w:sz w:val="22"/>
        </w:rPr>
        <w:t>, vol. 13, pp. 281–305, 2012.</w:t>
      </w:r>
    </w:p>
    <w:p>
      <w:pPr>
        <w:spacing w:after="80" w:line="288" w:lineRule="auto"/>
      </w:pPr>
      <w:r>
        <w:rPr>
          <w:rFonts w:ascii="Times New Roman" w:hAnsi="Times New Roman" w:cs="Times New Roman"/>
          <w:b w:val="0"/>
          <w:i w:val="0"/>
          <w:sz w:val="22"/>
        </w:rPr>
        <w:t>[49] C. Lugaresi and others, "Face Mesh — MediaPipe Solutions," Google Inc., software documentation, 2023. [Online]. Available: https://google.github.io/mediapipe/solutions/face_mesh</w:t>
      </w:r>
    </w:p>
    <w:p>
      <w:pPr>
        <w:spacing w:after="80" w:line="288" w:lineRule="auto"/>
      </w:pPr>
      <w:r>
        <w:rPr>
          <w:rFonts w:ascii="Times New Roman" w:hAnsi="Times New Roman" w:cs="Times New Roman"/>
          <w:b w:val="0"/>
          <w:i w:val="0"/>
          <w:sz w:val="22"/>
        </w:rPr>
        <w:t xml:space="preserve">[50] H. Caesar, J. Uijlings, and V. Ferrari, "COCO-Stuff: thing and stuff classes in context," in </w:t>
      </w:r>
      <w:r>
        <w:rPr>
          <w:rFonts w:ascii="Times New Roman" w:hAnsi="Times New Roman" w:cs="Times New Roman"/>
          <w:b w:val="0"/>
          <w:i/>
          <w:sz w:val="22"/>
        </w:rPr>
        <w:t>Proc. IEEE CVPR</w:t>
      </w:r>
      <w:r>
        <w:rPr>
          <w:rFonts w:ascii="Times New Roman" w:hAnsi="Times New Roman" w:cs="Times New Roman"/>
          <w:b w:val="0"/>
          <w:i w:val="0"/>
          <w:sz w:val="22"/>
        </w:rPr>
        <w:t>, 2018, pp. 1209–1218, doi: 10.1109/CVPR.2018.00132.</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