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radidalix@outlook.fr, ghazouani.fsbm@gmail.com, h.benlahmer@gmail.com</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 neprekinjeno prepoznavanje obrazov, izločanje glasovnih odtisov in prepis govora —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sub-chance) while the conventional raw-media analogue exposes near-perfect re-identification (AUC = 0.994). To the best of the authors' knowledge no prior proctoring paper provides such quantitative adversarial-privacy evidence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with Jung et al. [20] reporting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extended for proctoring. The re-identification adversary we instantiate in Section 6.7 follows the de-anonymisation methodology of Narayanan and Shmatikov [37],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[49]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Apple GPU is exposed to PyTorch through the Metal Performance Shaders (MPS) backend.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PR AUC, and a 95% bootstrap confidence interval on F1 (1,000 resamples). Multi-class detection (visual subsystem) uses per-class precision, recall, F1, and AP@0.5 with greedy IoU matching at threshold 0.5. Statistical significance of fusion-model differences is tested with McNemar's χ² (continuity-corrected).</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picture from significance testing is more nuanced and we report it transparently.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[47].</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is, to the best of our knowledge, the strongest empirical privacy claim made in the proctoring literature on real-speaker data. Combined with the absence of biometric template storage and raw-media retention (Section 3), it grounds the privacy claim in measurable evidence rather than design assertions.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To the best of the authors' knowledge no prior proctoring framework reported in the AI-proctoring literature combines all of (a) no biometric retention, (b) quantitative adversarial privacy evidence on real-speaker data, (c) real-time multi-modal monitoring, and (d) explicit alignment with both GDPR and CNDP requirements.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au titre de la loi 09-08," CNDP, Rabat, Morocco, guidance note, 2022.</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 Barachi, "Smart online exam proctoring assist for cheating detection," in </w:t>
      </w:r>
      <w:r>
        <w:rPr>
          <w:i/>
        </w:rPr>
        <w:t>Advanced Data Mining and Applications (ADMA 2021)</w:t>
      </w:r>
      <w:r>
        <w:t>, vol. 13088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arXiv:2104.02878.</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102,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T.-Y. Kim, H. Ko, S.-H. Kim, and H.-D. Kim, "Modelling of advanced driver assistance systems, pedestrian detection from camera images for ADAS," </w:t>
      </w:r>
      <w:r>
        <w:rPr>
          <w:i/>
        </w:rPr>
        <w:t>Sensors</w:t>
      </w:r>
      <w:r>
        <w:t>, vol. 20, no. 11, p. 3122, 2020, doi: 10.3390/s20113122.</w:t>
      </w:r>
    </w:p>
    <w:p>
      <w:pPr>
        <w:pStyle w:val="IText"/>
        <w:ind w:left="340" w:hanging="340"/>
      </w:pPr>
      <w:r>
        <w:t xml:space="preserve">[37]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[38]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[39]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[40] G. Bradski, "The OpenCV library," </w:t>
      </w:r>
      <w:r>
        <w:rPr>
          <w:i/>
        </w:rPr>
        <w:t>Dr. Dobb's Journal of Software Tools</w:t>
      </w:r>
      <w:r>
        <w:t>, vol. 25, no. 11, pp. 120–125, 2000.</w:t>
      </w:r>
    </w:p>
    <w:p>
      <w:pPr>
        <w:pStyle w:val="IText"/>
        <w:ind w:left="340" w:hanging="340"/>
      </w:pPr>
      <w:r>
        <w:t xml:space="preserve">[41]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[42]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[43] L. Breiman, "Random forests," </w:t>
      </w:r>
      <w:r>
        <w:rPr>
          <w:i/>
        </w:rPr>
        <w:t>Machine Learning</w:t>
      </w:r>
      <w:r>
        <w:t>, vol. 45, no. 1, pp. 5–32, 2001, doi: 10.1023/A:1010933404324.</w:t>
      </w:r>
    </w:p>
    <w:p>
      <w:pPr>
        <w:pStyle w:val="IText"/>
        <w:ind w:left="340" w:hanging="340"/>
      </w:pPr>
      <w:r>
        <w:t xml:space="preserve">[44] B. Efron and R. Tibshirani, </w:t>
      </w:r>
      <w:r>
        <w:rPr>
          <w:i/>
        </w:rPr>
        <w:t>An Introduction to the Bootstrap</w:t>
      </w:r>
      <w:r>
        <w:t>. New York, NY, USA: Chapman &amp; Hall/CRC, 1993.</w:t>
      </w:r>
    </w:p>
    <w:p>
      <w:pPr>
        <w:pStyle w:val="IText"/>
        <w:ind w:left="340" w:hanging="340"/>
      </w:pPr>
      <w:r>
        <w:t xml:space="preserve">[45]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[46] T. Fawcett, "An introduction to ROC analysis," </w:t>
      </w:r>
      <w:r>
        <w:rPr>
          <w:i/>
        </w:rPr>
        <w:t>Pattern Recognition Letters</w:t>
      </w:r>
      <w:r>
        <w:t>, vol. 27, no. 8, pp. 861–874, 2006, doi: 10.1016/j.patrec.2005.10.010.</w:t>
      </w:r>
    </w:p>
    <w:p>
      <w:pPr>
        <w:pStyle w:val="IText"/>
        <w:ind w:left="340" w:hanging="340"/>
      </w:pPr>
      <w:r>
        <w:t xml:space="preserve">[47]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[48] J. Bergstra and Y. Bengio, "Random search for hyper-parameter optimization," </w:t>
      </w:r>
      <w:r>
        <w:rPr>
          <w:i/>
        </w:rPr>
        <w:t>Journal of Machine Learning Research</w:t>
      </w:r>
      <w:r>
        <w:t>, vol. 13, pp. 281–305, 2012.</w:t>
      </w:r>
    </w:p>
    <w:p>
      <w:pPr>
        <w:pStyle w:val="IText"/>
        <w:ind w:left="340" w:hanging="340"/>
      </w:pPr>
      <w:r>
        <w:t>[49] C. Lugaresi and others, "Face Mesh, MediaPipe Solutions," Google Inc., software documentation, 2023. [Online]. Available: https://google.github.io/mediapipe/solutions/face_mesh</w:t>
      </w:r>
    </w:p>
    <w:p>
      <w:pPr>
        <w:pStyle w:val="IText"/>
        <w:ind w:left="340" w:hanging="340"/>
      </w:pPr>
      <w:r>
        <w:t xml:space="preserve">[50]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