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Sistemi za nadzor spletnih izpitov, ki temeljijo na umetni inteligenci, se večinoma zanašajo na neprekinjeno biometrično obdelavo, ki je v nasprotju z evropsko uredbo GDPR in maroškim zakonom 09-08. Predstavljamo večmodalno ogrodje, ki ohranja zasebnost in zaznava goljufanje brez shranjevanja biometričnih predlog, surovega videa ali jezikovne vsebine. Ogrodje povezuje YOLOv8-s za kontekstualno zaznavanje predmetov, MediaPipe FaceMesh za neidentificirajoče vedenjske namige in kodirnik Whisper-Base v načinu brez prepisa govora; izhodi modulov se združijo v model za izračun indeksa suma, izbran empirično med petimi različicami. YOLOv8-s doseže makro F1 0,606 na realni podmnožici COCO val2017, kodirnik Whisper pa na 400 posnetkih iz korpusa LibriSpeech ROC AUC 0,774 za prisotnost dodatnega govorca in 0,935 za zaznavanje šepetanja. Petkratno prečno preverjanje na 300 sejah z realnimi značilkami izbere naključni gozd kot najboljšo strategijo zlivanja (F1 = 0,905 ± 0,041), čeprav njegova prednost pred preprostim pravilom tehtane vsote ni statistično značilna (McNemar p = 0,37). Cevovod deluje s 23,7 oziroma 19,4 sličicami na sekundo (MPS oziroma CPU) na računalniku Apple M4 Max z največ 1.102 MB pomnilnika. Preverjanje zasebnosti s 30 resničnimi govorci pokaže, da napadalec s surovim zvokom doseže AUC 0,994 za ponovno identifikacijo, nezaščiteni zvočni metapodatki pa še vedno razkrijejo zmerno identiteto govorca (AUC 0,816), kar potrjuje, da brezvsebinski izhod ni samodejno tudi brez identitete. Objava metapodatkov prek diferencialno zasebnega mehanizma (Laplace, epsilon = 4 na vrednost) zniža ponovno identifikacijo na 0,547, blizu naključja, ob znižanju AUC zaznavanja z 0,774 na 0,625.</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tabs>
          <w:tab w:pos="300" w:val="left"/>
        </w:tabs>
        <w:ind w:left="300" w:hanging="300"/>
        <w:jc w:val="left"/>
      </w:pPr>
      <w:r>
        <w:rPr>
          <w:b/>
        </w:rPr>
        <w:t>1.</w:t>
        <w:tab/>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tabs>
          <w:tab w:pos="300" w:val="left"/>
        </w:tabs>
        <w:ind w:left="300" w:hanging="300"/>
        <w:jc w:val="left"/>
      </w:pPr>
      <w:r>
        <w:rPr>
          <w:b/>
        </w:rPr>
        <w:t>2.</w:t>
        <w:tab/>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tabs>
          <w:tab w:pos="300" w:val="left"/>
        </w:tabs>
        <w:ind w:left="300" w:hanging="300"/>
        <w:jc w:val="left"/>
      </w:pPr>
      <w:r>
        <w:rPr>
          <w:b/>
        </w:rPr>
        <w:t>3.</w:t>
        <w:tab/>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tabs>
          <w:tab w:pos="300" w:val="left"/>
        </w:tabs>
        <w:ind w:left="300" w:hanging="300"/>
        <w:jc w:val="left"/>
      </w:pPr>
      <w:r>
        <w:t>•</w:t>
        <w:tab/>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tabs>
          <w:tab w:pos="300" w:val="left"/>
        </w:tabs>
        <w:ind w:left="300" w:hanging="300"/>
        <w:jc w:val="left"/>
      </w:pPr>
      <w:r>
        <w:t>•</w:t>
        <w:tab/>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tabs>
          <w:tab w:pos="300" w:val="left"/>
        </w:tabs>
        <w:ind w:left="300" w:hanging="300"/>
        <w:jc w:val="left"/>
      </w:pPr>
      <w:r>
        <w:t>•</w:t>
        <w:tab/>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tabs>
          <w:tab w:pos="300" w:val="left"/>
        </w:tabs>
        <w:ind w:left="300" w:hanging="300"/>
        <w:jc w:val="left"/>
      </w:pPr>
      <w:r>
        <w:t>•</w:t>
        <w:tab/>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tabs>
          <w:tab w:pos="300" w:val="left"/>
        </w:tabs>
        <w:ind w:left="300" w:hanging="300"/>
        <w:jc w:val="left"/>
      </w:pPr>
      <w:r>
        <w:t>•</w:t>
        <w:tab/>
      </w:r>
      <w:r>
        <w:t>(V) Vision-based proctoring,</w:t>
      </w:r>
    </w:p>
    <w:p>
      <w:pPr>
        <w:pStyle w:val="Normal-noindent"/>
        <w:tabs>
          <w:tab w:pos="300" w:val="left"/>
        </w:tabs>
        <w:ind w:left="300" w:hanging="300"/>
        <w:jc w:val="left"/>
      </w:pPr>
      <w:r>
        <w:t>•</w:t>
        <w:tab/>
      </w:r>
      <w:r>
        <w:t>(A) Audio-based proctoring,</w:t>
      </w:r>
    </w:p>
    <w:p>
      <w:pPr>
        <w:pStyle w:val="Normal-noindent"/>
        <w:tabs>
          <w:tab w:pos="300" w:val="left"/>
        </w:tabs>
        <w:ind w:left="300" w:hanging="300"/>
        <w:jc w:val="left"/>
      </w:pPr>
      <w:r>
        <w:t>•</w:t>
        <w:tab/>
      </w:r>
      <w:r>
        <w:t>(M) Multi-modal proctoring,</w:t>
      </w:r>
    </w:p>
    <w:p>
      <w:pPr>
        <w:pStyle w:val="Normal-noindent"/>
        <w:tabs>
          <w:tab w:pos="300" w:val="left"/>
        </w:tabs>
        <w:ind w:left="300" w:hanging="300"/>
        <w:jc w:val="left"/>
      </w:pPr>
      <w:r>
        <w:t>•</w:t>
        <w:tab/>
      </w:r>
      <w:r>
        <w:t>(B) Behavioural biometrics (keystroke, mouse dynamics),</w:t>
      </w:r>
    </w:p>
    <w:p>
      <w:pPr>
        <w:pStyle w:val="Normal-noindent"/>
        <w:tabs>
          <w:tab w:pos="300" w:val="left"/>
        </w:tabs>
        <w:ind w:left="300" w:hanging="300"/>
        <w:jc w:val="left"/>
      </w:pPr>
      <w:r>
        <w:t>•</w:t>
        <w:tab/>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their dependence on persistent face templates and raw-video archives. When those templates are used to verify or identify the candidate, they engage the GDPR Article 9 special-category regime [4] and the analogous CNDP Law 09-08 provisions [5].</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36"/>
        <w:gridCol w:w="885"/>
        <w:gridCol w:w="1906"/>
        <w:gridCol w:w="1010"/>
        <w:gridCol w:w="923"/>
        <w:gridCol w:w="1385"/>
        <w:gridCol w:w="1280"/>
      </w:tblGrid>
      <w:tr>
        <w:trPr>
          <w:tblHeader w:val="true"/>
          <w:cantSplit/>
        </w:trPr>
        <w:tc>
          <w:tcPr>
            <w:tcW w:type="dxa" w:w="2136"/>
          </w:tcPr>
          <w:p>
            <w:pPr>
              <w:pStyle w:val="Normal-noindent"/>
            </w:pPr>
            <w:r/>
            <w:r>
              <w:rPr>
                <w:b/>
              </w:rPr>
              <w:t>Work</w:t>
            </w:r>
          </w:p>
        </w:tc>
        <w:tc>
          <w:tcPr>
            <w:tcW w:type="dxa" w:w="885"/>
          </w:tcPr>
          <w:p>
            <w:pPr>
              <w:pStyle w:val="Normal-noindent"/>
            </w:pPr>
            <w:r/>
            <w:r>
              <w:rPr>
                <w:b/>
              </w:rPr>
              <w:t>Type</w:t>
            </w:r>
          </w:p>
        </w:tc>
        <w:tc>
          <w:tcPr>
            <w:tcW w:type="dxa" w:w="1906"/>
          </w:tcPr>
          <w:p>
            <w:pPr>
              <w:pStyle w:val="Normal-noindent"/>
            </w:pPr>
            <w:r/>
            <w:r>
              <w:rPr>
                <w:b/>
              </w:rPr>
              <w:t>Biom. template</w:t>
            </w:r>
          </w:p>
        </w:tc>
        <w:tc>
          <w:tcPr>
            <w:tcW w:type="dxa" w:w="1010"/>
          </w:tcPr>
          <w:p>
            <w:pPr>
              <w:pStyle w:val="Normal-noindent"/>
            </w:pPr>
            <w:r/>
            <w:r>
              <w:rPr>
                <w:b/>
              </w:rPr>
              <w:t>Raw media</w:t>
            </w:r>
          </w:p>
        </w:tc>
        <w:tc>
          <w:tcPr>
            <w:tcW w:type="dxa" w:w="923"/>
          </w:tcPr>
          <w:p>
            <w:pPr>
              <w:pStyle w:val="Normal-noindent"/>
            </w:pPr>
            <w:r/>
            <w:r>
              <w:rPr>
                <w:b/>
              </w:rPr>
              <w:t>Real-time</w:t>
            </w:r>
          </w:p>
        </w:tc>
        <w:tc>
          <w:tcPr>
            <w:tcW w:type="dxa" w:w="1385"/>
          </w:tcPr>
          <w:p>
            <w:pPr>
              <w:pStyle w:val="Normal-noindent"/>
            </w:pPr>
            <w:r/>
            <w:r>
              <w:rPr>
                <w:b/>
              </w:rPr>
              <w:t>Privacy proof</w:t>
            </w:r>
          </w:p>
        </w:tc>
        <w:tc>
          <w:tcPr>
            <w:tcW w:type="dxa" w:w="1280"/>
          </w:tcPr>
          <w:p>
            <w:pPr>
              <w:pStyle w:val="Normal-noindent"/>
            </w:pPr>
            <w:r/>
            <w:r>
              <w:rPr>
                <w:b/>
              </w:rPr>
              <w:t>GDPR/CNDP</w:t>
            </w:r>
          </w:p>
        </w:tc>
      </w:tr>
      <w:tr>
        <w:trPr>
          <w:cantSplit/>
        </w:trPr>
        <w:tc>
          <w:tcPr>
            <w:tcW w:type="dxa" w:w="2136"/>
          </w:tcPr>
          <w:p>
            <w:pPr>
              <w:pStyle w:val="Normal-noindent"/>
            </w:pPr>
            <w:r/>
            <w:r>
              <w:t>Atoum et al. (2017) [8]</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Singh et al. (2024) [10]</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Vishal et al. (2025) [11]</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Jung et al. (2021) [20]</w:t>
            </w:r>
          </w:p>
        </w:tc>
        <w:tc>
          <w:tcPr>
            <w:tcW w:type="dxa" w:w="885"/>
          </w:tcPr>
          <w:p>
            <w:pPr>
              <w:pStyle w:val="Normal-noindent"/>
            </w:pPr>
            <w:r/>
            <w:r>
              <w:t>A</w:t>
            </w:r>
          </w:p>
        </w:tc>
        <w:tc>
          <w:tcPr>
            <w:tcW w:type="dxa" w:w="1906"/>
          </w:tcPr>
          <w:p>
            <w:pPr>
              <w:pStyle w:val="Normal-noindent"/>
            </w:pPr>
            <w:r/>
            <w:r>
              <w:t>Voiceprint context</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Masud et al. (2022) [12]</w:t>
            </w:r>
          </w:p>
        </w:tc>
        <w:tc>
          <w:tcPr>
            <w:tcW w:type="dxa" w:w="885"/>
          </w:tcPr>
          <w:p>
            <w:pPr>
              <w:pStyle w:val="Normal-noindent"/>
            </w:pPr>
            <w:r/>
            <w:r>
              <w:t>V, A, M</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McMahan et al. (2017), FedAvg [25]</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Bonawitz et al. (2017), SecAgg [26]</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Du et al. (2024), PrivateGaze [27]</w:t>
            </w:r>
          </w:p>
        </w:tc>
        <w:tc>
          <w:tcPr>
            <w:tcW w:type="dxa" w:w="885"/>
          </w:tcPr>
          <w:p>
            <w:pPr>
              <w:pStyle w:val="Normal-noindent"/>
            </w:pPr>
            <w:r/>
            <w:r>
              <w:t>P</w:t>
            </w:r>
          </w:p>
        </w:tc>
        <w:tc>
          <w:tcPr>
            <w:tcW w:type="dxa" w:w="1906"/>
          </w:tcPr>
          <w:p>
            <w:pPr>
              <w:pStyle w:val="Normal-noindent"/>
            </w:pPr>
            <w:r/>
            <w:r>
              <w:t>Obfuscated</w:t>
            </w:r>
          </w:p>
        </w:tc>
        <w:tc>
          <w:tcPr>
            <w:tcW w:type="dxa" w:w="1010"/>
          </w:tcPr>
          <w:p>
            <w:pPr>
              <w:pStyle w:val="Normal-noindent"/>
            </w:pPr>
            <w:r/>
            <w:r>
              <w:t>No</w:t>
            </w:r>
          </w:p>
        </w:tc>
        <w:tc>
          <w:tcPr>
            <w:tcW w:type="dxa" w:w="923"/>
          </w:tcPr>
          <w:p>
            <w:pPr>
              <w:pStyle w:val="Normal-noindent"/>
            </w:pPr>
            <w:r/>
            <w:r>
              <w:t>Near real-time</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Bozkir et al. (2021), DP eye-tracking [28]</w:t>
            </w:r>
          </w:p>
        </w:tc>
        <w:tc>
          <w:tcPr>
            <w:tcW w:type="dxa" w:w="885"/>
          </w:tcPr>
          <w:p>
            <w:pPr>
              <w:pStyle w:val="Normal-noindent"/>
            </w:pPr>
            <w:r/>
            <w:r>
              <w:t>P</w:t>
            </w:r>
          </w:p>
        </w:tc>
        <w:tc>
          <w:tcPr>
            <w:tcW w:type="dxa" w:w="1906"/>
          </w:tcPr>
          <w:p>
            <w:pPr>
              <w:pStyle w:val="Normal-noindent"/>
            </w:pPr>
            <w:r/>
            <w:r>
              <w:t>No</w:t>
            </w:r>
          </w:p>
        </w:tc>
        <w:tc>
          <w:tcPr>
            <w:tcW w:type="dxa" w:w="1010"/>
          </w:tcPr>
          <w:p>
            <w:pPr>
              <w:pStyle w:val="Normal-noindent"/>
            </w:pPr>
            <w:r/>
            <w:r>
              <w:t>No</w:t>
            </w:r>
          </w:p>
        </w:tc>
        <w:tc>
          <w:tcPr>
            <w:tcW w:type="dxa" w:w="923"/>
          </w:tcPr>
          <w:p>
            <w:pPr>
              <w:pStyle w:val="Normal-noindent"/>
            </w:pPr>
            <w:r/>
            <w:r>
              <w:t>No</w:t>
            </w:r>
          </w:p>
        </w:tc>
        <w:tc>
          <w:tcPr>
            <w:tcW w:type="dxa" w:w="1385"/>
          </w:tcPr>
          <w:p>
            <w:pPr>
              <w:pStyle w:val="Normal-noindent"/>
            </w:pPr>
            <w:r/>
            <w:r>
              <w:t>DP bound</w:t>
            </w:r>
          </w:p>
        </w:tc>
        <w:tc>
          <w:tcPr>
            <w:tcW w:type="dxa" w:w="1280"/>
          </w:tcPr>
          <w:p>
            <w:pPr>
              <w:pStyle w:val="Normal-noindent"/>
            </w:pPr>
            <w:r/>
            <w:r>
              <w:t>Partial</w:t>
            </w:r>
          </w:p>
        </w:tc>
      </w:tr>
      <w:tr>
        <w:trPr>
          <w:cantSplit/>
        </w:trPr>
        <w:tc>
          <w:tcPr>
            <w:tcW w:type="dxa" w:w="2136"/>
          </w:tcPr>
          <w:p>
            <w:pPr>
              <w:pStyle w:val="Normal-noindent"/>
            </w:pPr>
            <w:r/>
            <w:r>
              <w:rPr>
                <w:b/>
              </w:rPr>
              <w:t>This work</w:t>
            </w:r>
          </w:p>
        </w:tc>
        <w:tc>
          <w:tcPr>
            <w:tcW w:type="dxa" w:w="885"/>
          </w:tcPr>
          <w:p>
            <w:pPr>
              <w:pStyle w:val="Normal-noindent"/>
            </w:pPr>
            <w:r/>
            <w:r>
              <w:t>V, A, M, P</w:t>
            </w:r>
          </w:p>
        </w:tc>
        <w:tc>
          <w:tcPr>
            <w:tcW w:type="dxa" w:w="1906"/>
          </w:tcPr>
          <w:p>
            <w:pPr>
              <w:pStyle w:val="Normal-noindent"/>
            </w:pPr>
            <w:r/>
            <w:r>
              <w:rPr>
                <w:b/>
              </w:rPr>
              <w:t>No</w:t>
            </w:r>
          </w:p>
        </w:tc>
        <w:tc>
          <w:tcPr>
            <w:tcW w:type="dxa" w:w="1010"/>
          </w:tcPr>
          <w:p>
            <w:pPr>
              <w:pStyle w:val="Normal-noindent"/>
            </w:pPr>
            <w:r/>
            <w:r>
              <w:rPr>
                <w:b/>
              </w:rPr>
              <w:t>No</w:t>
            </w:r>
          </w:p>
        </w:tc>
        <w:tc>
          <w:tcPr>
            <w:tcW w:type="dxa" w:w="923"/>
          </w:tcPr>
          <w:p>
            <w:pPr>
              <w:pStyle w:val="Normal-noindent"/>
            </w:pPr>
            <w:r/>
            <w:r>
              <w:rPr>
                <w:b/>
              </w:rPr>
              <w:t>Yes</w:t>
            </w:r>
          </w:p>
        </w:tc>
        <w:tc>
          <w:tcPr>
            <w:tcW w:type="dxa" w:w="1385"/>
          </w:tcPr>
          <w:p>
            <w:pPr>
              <w:pStyle w:val="Normal-noindent"/>
            </w:pPr>
            <w:r/>
            <w:r>
              <w:rPr>
                <w:b/>
              </w:rPr>
              <w:t>Yes (DP, re-ID 0.55)</w:t>
            </w:r>
          </w:p>
        </w:tc>
        <w:tc>
          <w:tcPr>
            <w:tcW w:type="dxa" w:w="1280"/>
          </w:tcPr>
          <w:p>
            <w:pPr>
              <w:pStyle w:val="Normal-noindent"/>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tabs>
          <w:tab w:pos="300" w:val="left"/>
        </w:tabs>
        <w:ind w:left="300" w:hanging="300"/>
        <w:jc w:val="left"/>
      </w:pPr>
      <w:r>
        <w:t>•</w:t>
        <w:tab/>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tabs>
          <w:tab w:pos="300" w:val="left"/>
        </w:tabs>
        <w:ind w:left="300" w:hanging="300"/>
        <w:jc w:val="left"/>
      </w:pPr>
      <w:r>
        <w:t>•</w:t>
        <w:tab/>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Heading2"/>
      </w:pPr>
      <w:r>
        <w:rPr>
          <w:b/>
        </w:rPr>
        <w:t>Pipeline Overview</w:t>
      </w:r>
    </w:p>
    <w:p>
      <w:pPr>
        <w:pStyle w:val="Normal-noindent"/>
      </w:pPr>
      <w:r>
        <w:t>The end-to-end pipeline (Figure 1) consists of four logical stages:</w:t>
      </w:r>
    </w:p>
    <w:p>
      <w:pPr>
        <w:pStyle w:val="Normal-noindent"/>
        <w:tabs>
          <w:tab w:pos="300" w:val="left"/>
        </w:tabs>
        <w:ind w:left="300" w:hanging="300"/>
        <w:jc w:val="left"/>
      </w:pPr>
      <w:r>
        <w:rPr>
          <w:b/>
        </w:rPr>
        <w:t>1.</w:t>
        <w:tab/>
      </w:r>
      <w:r>
        <w:rPr>
          <w:b/>
        </w:rPr>
        <w:t>Sensors.</w:t>
      </w:r>
      <w:r>
        <w:t xml:space="preserve"> Camera (720p webcam) and microphone are accessed in a volatile memory buffer.</w:t>
      </w:r>
    </w:p>
    <w:p>
      <w:pPr>
        <w:pStyle w:val="Normal-noindent"/>
        <w:tabs>
          <w:tab w:pos="300" w:val="left"/>
        </w:tabs>
        <w:ind w:left="300" w:hanging="300"/>
        <w:jc w:val="left"/>
      </w:pPr>
      <w:r>
        <w:rPr>
          <w:b/>
        </w:rPr>
        <w:t>2.</w:t>
        <w:tab/>
      </w:r>
      <w:r>
        <w:rPr>
          <w:b/>
        </w:rPr>
        <w:t>Modality encoders.</w:t>
      </w:r>
      <w:r>
        <w:t xml:space="preserve"> YOLOv8-s for objects, MediaPipe FaceMesh for behavioural cues, Whisper-Base encoder in content-free mode for acoustic anomaly.</w:t>
      </w:r>
    </w:p>
    <w:p>
      <w:pPr>
        <w:pStyle w:val="Normal-noindent"/>
        <w:tabs>
          <w:tab w:pos="300" w:val="left"/>
        </w:tabs>
        <w:ind w:left="300" w:hanging="300"/>
        <w:jc w:val="left"/>
      </w:pPr>
      <w:r>
        <w:rPr>
          <w:b/>
        </w:rPr>
        <w:t>3.</w:t>
        <w:tab/>
      </w:r>
      <w:r>
        <w:rPr>
          <w:b/>
        </w:rPr>
        <w:t>Suspicion Index Fusion Model.</w:t>
      </w:r>
      <w:r>
        <w:t xml:space="preserve"> Combines the modality outputs into a calibrated risk score.</w:t>
      </w:r>
    </w:p>
    <w:p>
      <w:pPr>
        <w:pStyle w:val="Normal-noindent"/>
        <w:tabs>
          <w:tab w:pos="300" w:val="left"/>
        </w:tabs>
        <w:ind w:left="300" w:hanging="300"/>
        <w:jc w:val="left"/>
      </w:pPr>
      <w:r>
        <w:rPr>
          <w:b/>
        </w:rPr>
        <w:t>4.</w:t>
        <w:tab/>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tabs>
          <w:tab w:pos="300" w:val="left"/>
        </w:tabs>
        <w:ind w:left="300" w:hanging="300"/>
        <w:jc w:val="left"/>
      </w:pPr>
      <w:r>
        <w:t>•</w:t>
        <w:tab/>
      </w:r>
      <w:r>
        <w:rPr>
          <w:b/>
        </w:rPr>
        <w:t>Internal observer.</w:t>
      </w:r>
      <w:r>
        <w:t xml:space="preserve"> Has read access to the event log. Goal: re-identify candidates from the metadata.</w:t>
      </w:r>
    </w:p>
    <w:p>
      <w:pPr>
        <w:pStyle w:val="Normal-noindent"/>
        <w:tabs>
          <w:tab w:pos="300" w:val="left"/>
        </w:tabs>
        <w:ind w:left="300" w:hanging="300"/>
        <w:jc w:val="left"/>
      </w:pPr>
      <w:r>
        <w:t>•</w:t>
        <w:tab/>
      </w:r>
      <w:r>
        <w:rPr>
          <w:b/>
        </w:rPr>
        <w:t>External observer.</w:t>
      </w:r>
      <w:r>
        <w:t xml:space="preserve"> Has read access to the artefacts written to disk by the system. Goal: reconstruct video, audio, or identifying templates.</w:t>
      </w:r>
    </w:p>
    <w:p>
      <w:pPr>
        <w:pStyle w:val="Normal-noindent"/>
        <w:tabs>
          <w:tab w:pos="300" w:val="left"/>
        </w:tabs>
        <w:ind w:left="300" w:hanging="300"/>
        <w:jc w:val="left"/>
      </w:pPr>
      <w:r>
        <w:t>•</w:t>
        <w:tab/>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tabs>
          <w:tab w:pos="300" w:val="left"/>
        </w:tabs>
        <w:ind w:left="300" w:hanging="300"/>
        <w:jc w:val="left"/>
      </w:pPr>
      <w:r>
        <w:t>•</w:t>
        <w:tab/>
      </w:r>
      <w:r>
        <w:rPr>
          <w:b/>
        </w:rPr>
        <w:t>Gaze deviation angle</w:t>
      </w:r>
      <w:r>
        <w:t xml:space="preserve"> </w:t>
      </w:r>
      <w:r>
        <w:t>θ</w:t>
      </w:r>
      <w:r>
        <w:rPr>
          <w:vertAlign w:val="subscript"/>
        </w:rPr>
        <w:t>g</w:t>
      </w:r>
      <w:r>
        <w:t>: derived from the angular position of the nose tip relative to the eye-centre axis.</w:t>
      </w:r>
    </w:p>
    <w:p>
      <w:pPr>
        <w:pStyle w:val="Normal-noindent"/>
        <w:tabs>
          <w:tab w:pos="300" w:val="left"/>
        </w:tabs>
        <w:ind w:left="300" w:hanging="300"/>
        <w:jc w:val="left"/>
      </w:pPr>
      <w:r>
        <w:t>•</w:t>
        <w:tab/>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tabs>
          <w:tab w:pos="300" w:val="left"/>
        </w:tabs>
        <w:ind w:left="300" w:hanging="300"/>
        <w:jc w:val="left"/>
      </w:pPr>
      <w:r>
        <w:t>•</w:t>
        <w:tab/>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tabs>
          <w:tab w:pos="300" w:val="left"/>
        </w:tabs>
        <w:ind w:left="300" w:hanging="300"/>
        <w:jc w:val="left"/>
      </w:pPr>
      <w:r>
        <w:t>•</w:t>
        <w:tab/>
      </w:r>
      <w:r>
        <w:rPr>
          <w:b/>
        </w:rPr>
        <w:t>Voice Activity Ratio</w:t>
      </w:r>
      <w:r>
        <w:t xml:space="preserve"> </w:t>
      </w:r>
      <w:r>
        <w:t>VAR(a)</w:t>
      </w:r>
      <w:r>
        <w:t>: fraction of short-time frames whose energy exceeds 1.4× the median.</w:t>
      </w:r>
    </w:p>
    <w:p>
      <w:pPr>
        <w:pStyle w:val="Normal-noindent"/>
        <w:tabs>
          <w:tab w:pos="300" w:val="left"/>
        </w:tabs>
        <w:ind w:left="300" w:hanging="300"/>
        <w:jc w:val="left"/>
      </w:pPr>
      <w:r>
        <w:t>•</w:t>
        <w:tab/>
      </w:r>
      <w:r>
        <w:rPr>
          <w:b/>
        </w:rPr>
        <w:t>Pitch fluctuation</w:t>
      </w:r>
      <w:r>
        <w:t xml:space="preserve"> </w:t>
      </w:r>
      <w:r>
        <w:t>PFV(a)</w:t>
      </w:r>
      <w:r>
        <w:t>: median absolute deviation of the auto-correlation-based pitch estimate across active frames, normalised by the median.</w:t>
      </w:r>
    </w:p>
    <w:p>
      <w:pPr>
        <w:pStyle w:val="Normal-noindent"/>
        <w:tabs>
          <w:tab w:pos="300" w:val="left"/>
        </w:tabs>
        <w:ind w:left="300" w:hanging="300"/>
        <w:jc w:val="left"/>
      </w:pPr>
      <w:r>
        <w:t>•</w:t>
        <w:tab/>
      </w:r>
      <w:r>
        <w:rPr>
          <w:b/>
        </w:rPr>
        <w:t>Spectral centroid fluctuation</w:t>
      </w:r>
      <w:r>
        <w:t xml:space="preserve"> </w:t>
      </w:r>
      <w:r>
        <w:t>CFV(a)</w:t>
      </w:r>
      <w:r>
        <w:t>: same as PFV but over the spectral centroid.</w:t>
      </w:r>
    </w:p>
    <w:p>
      <w:pPr>
        <w:pStyle w:val="Normal-noindent"/>
        <w:tabs>
          <w:tab w:pos="300" w:val="left"/>
        </w:tabs>
        <w:ind w:left="300" w:hanging="300"/>
        <w:jc w:val="left"/>
      </w:pPr>
      <w:r>
        <w:t>•</w:t>
        <w:tab/>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6.4) among five candidates:</w:t>
      </w:r>
    </w:p>
    <w:p>
      <w:pPr>
        <w:pStyle w:val="Normal-noindent"/>
        <w:tabs>
          <w:tab w:pos="300" w:val="left"/>
        </w:tabs>
        <w:ind w:left="300" w:hanging="300"/>
        <w:jc w:val="left"/>
      </w:pPr>
      <w:r>
        <w:rPr>
          <w:b/>
        </w:rPr>
        <w:t>1.</w:t>
        <w:tab/>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tabs>
          <w:tab w:pos="300" w:val="left"/>
        </w:tabs>
        <w:ind w:left="300" w:hanging="300"/>
        <w:jc w:val="left"/>
      </w:pPr>
      <w:r>
        <w:rPr>
          <w:b/>
        </w:rPr>
        <w:t>2.</w:t>
        <w:tab/>
      </w:r>
      <w:r>
        <w:rPr>
          <w:b/>
        </w:rPr>
        <w:t>L2-regularised logistic regression.</w:t>
      </w:r>
    </w:p>
    <w:p>
      <w:pPr>
        <w:pStyle w:val="Normal-noindent"/>
        <w:tabs>
          <w:tab w:pos="300" w:val="left"/>
        </w:tabs>
        <w:ind w:left="300" w:hanging="300"/>
        <w:jc w:val="left"/>
      </w:pPr>
      <w:r>
        <w:rPr>
          <w:b/>
        </w:rPr>
        <w:t>3.</w:t>
        <w:tab/>
      </w:r>
      <w:r>
        <w:rPr>
          <w:b/>
        </w:rPr>
        <w:t>Random forest</w:t>
      </w:r>
      <w:r>
        <w:t xml:space="preserve"> [42] with 200 trees, max depth 8.</w:t>
      </w:r>
    </w:p>
    <w:p>
      <w:pPr>
        <w:pStyle w:val="Normal-noindent"/>
        <w:tabs>
          <w:tab w:pos="300" w:val="left"/>
        </w:tabs>
        <w:ind w:left="300" w:hanging="300"/>
        <w:jc w:val="left"/>
      </w:pPr>
      <w:r>
        <w:rPr>
          <w:b/>
        </w:rPr>
        <w:t>4.</w:t>
        <w:tab/>
      </w:r>
      <w:r>
        <w:rPr>
          <w:b/>
        </w:rPr>
        <w:t>Multi-layer perceptron</w:t>
      </w:r>
      <w:r>
        <w:t xml:space="preserve"> (32, 16) with StandardScaler preprocessing.</w:t>
      </w:r>
    </w:p>
    <w:p>
      <w:pPr>
        <w:pStyle w:val="Normal-noindent"/>
        <w:tabs>
          <w:tab w:pos="300" w:val="left"/>
        </w:tabs>
        <w:ind w:left="300" w:hanging="300"/>
        <w:jc w:val="left"/>
      </w:pPr>
      <w:r>
        <w:rPr>
          <w:b/>
        </w:rPr>
        <w:t>5.</w:t>
        <w:tab/>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tabs>
          <w:tab w:pos="300" w:val="left"/>
        </w:tabs>
        <w:ind w:left="300" w:hanging="300"/>
        <w:jc w:val="left"/>
      </w:pPr>
      <w:r>
        <w:t>•</w:t>
        <w:tab/>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tabs>
          <w:tab w:pos="300" w:val="left"/>
        </w:tabs>
        <w:ind w:left="300" w:hanging="300"/>
        <w:jc w:val="left"/>
      </w:pPr>
      <w:r>
        <w:t>•</w:t>
        <w:tab/>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tabs>
          <w:tab w:pos="300" w:val="left"/>
        </w:tabs>
        <w:ind w:left="300" w:hanging="300"/>
        <w:jc w:val="left"/>
      </w:pPr>
      <w:r>
        <w:t>•</w:t>
        <w:tab/>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tabs>
          <w:tab w:pos="300" w:val="left"/>
        </w:tabs>
        <w:ind w:left="300" w:hanging="300"/>
        <w:jc w:val="left"/>
      </w:pPr>
      <w:r>
        <w:t>•</w:t>
        <w:tab/>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80"/>
        <w:gridCol w:w="1245"/>
        <w:gridCol w:w="1900"/>
        <w:gridCol w:w="1600"/>
        <w:gridCol w:w="1150"/>
        <w:gridCol w:w="1000"/>
        <w:gridCol w:w="1150"/>
      </w:tblGrid>
      <w:tr>
        <w:trPr>
          <w:tblHeader w:val="true"/>
          <w:cantSplit/>
        </w:trPr>
        <w:tc>
          <w:tcPr>
            <w:tcW w:type="dxa" w:w="1480"/>
          </w:tcPr>
          <w:p>
            <w:pPr>
              <w:pStyle w:val="Normal-noindent"/>
            </w:pPr>
            <w:r/>
            <w:r>
              <w:rPr>
                <w:b/>
              </w:rPr>
              <w:t>Class</w:t>
            </w:r>
          </w:p>
        </w:tc>
        <w:tc>
          <w:tcPr>
            <w:tcW w:type="dxa" w:w="1245"/>
          </w:tcPr>
          <w:p>
            <w:pPr>
              <w:pStyle w:val="Normal-noindent"/>
            </w:pPr>
            <w:r/>
            <w:r>
              <w:rPr>
                <w:b/>
              </w:rPr>
              <w:t>Ground truth</w:t>
            </w:r>
          </w:p>
        </w:tc>
        <w:tc>
          <w:tcPr>
            <w:tcW w:type="dxa" w:w="1900"/>
          </w:tcPr>
          <w:p>
            <w:pPr>
              <w:pStyle w:val="Normal-noindent"/>
            </w:pPr>
            <w:r/>
            <w:r>
              <w:rPr>
                <w:b/>
              </w:rPr>
              <w:t>Predictions</w:t>
            </w:r>
          </w:p>
        </w:tc>
        <w:tc>
          <w:tcPr>
            <w:tcW w:type="dxa" w:w="1600"/>
          </w:tcPr>
          <w:p>
            <w:pPr>
              <w:pStyle w:val="Normal-noindent"/>
            </w:pPr>
            <w:r/>
            <w:r>
              <w:rPr>
                <w:b/>
              </w:rPr>
              <w:t>Precision</w:t>
            </w:r>
          </w:p>
        </w:tc>
        <w:tc>
          <w:tcPr>
            <w:tcW w:type="dxa" w:w="1150"/>
          </w:tcPr>
          <w:p>
            <w:pPr>
              <w:pStyle w:val="Normal-noindent"/>
            </w:pPr>
            <w:r/>
            <w:r>
              <w:rPr>
                <w:b/>
              </w:rPr>
              <w:t>Recall</w:t>
            </w:r>
          </w:p>
        </w:tc>
        <w:tc>
          <w:tcPr>
            <w:tcW w:type="dxa" w:w="1000"/>
          </w:tcPr>
          <w:p>
            <w:pPr>
              <w:pStyle w:val="Normal-noindent"/>
            </w:pPr>
            <w:r/>
            <w:r>
              <w:rPr>
                <w:b/>
              </w:rPr>
              <w:t>F1</w:t>
            </w:r>
          </w:p>
        </w:tc>
        <w:tc>
          <w:tcPr>
            <w:tcW w:type="dxa" w:w="1150"/>
          </w:tcPr>
          <w:p>
            <w:pPr>
              <w:pStyle w:val="Normal-noindent"/>
            </w:pPr>
            <w:r/>
            <w:r>
              <w:rPr>
                <w:b/>
              </w:rPr>
              <w:t>AP@0.5</w:t>
            </w:r>
          </w:p>
        </w:tc>
      </w:tr>
      <w:tr>
        <w:trPr>
          <w:cantSplit/>
        </w:trPr>
        <w:tc>
          <w:tcPr>
            <w:tcW w:type="dxa" w:w="1480"/>
          </w:tcPr>
          <w:p>
            <w:pPr>
              <w:pStyle w:val="Normal-noindent"/>
            </w:pPr>
            <w:r/>
            <w:r>
              <w:t>person</w:t>
            </w:r>
          </w:p>
        </w:tc>
        <w:tc>
          <w:tcPr>
            <w:tcW w:type="dxa" w:w="1245"/>
          </w:tcPr>
          <w:p>
            <w:pPr>
              <w:pStyle w:val="Normal-noindent"/>
            </w:pPr>
            <w:r/>
            <w:r>
              <w:t>449</w:t>
            </w:r>
          </w:p>
        </w:tc>
        <w:tc>
          <w:tcPr>
            <w:tcW w:type="dxa" w:w="1900"/>
          </w:tcPr>
          <w:p>
            <w:pPr>
              <w:pStyle w:val="Normal-noindent"/>
            </w:pPr>
            <w:r/>
            <w:r>
              <w:t>356</w:t>
            </w:r>
          </w:p>
        </w:tc>
        <w:tc>
          <w:tcPr>
            <w:tcW w:type="dxa" w:w="1600"/>
          </w:tcPr>
          <w:p>
            <w:pPr>
              <w:pStyle w:val="Normal-noindent"/>
            </w:pPr>
            <w:r/>
            <w:r>
              <w:t>0.843</w:t>
            </w:r>
          </w:p>
        </w:tc>
        <w:tc>
          <w:tcPr>
            <w:tcW w:type="dxa" w:w="1150"/>
          </w:tcPr>
          <w:p>
            <w:pPr>
              <w:pStyle w:val="Normal-noindent"/>
            </w:pPr>
            <w:r/>
            <w:r>
              <w:t>0.668</w:t>
            </w:r>
          </w:p>
        </w:tc>
        <w:tc>
          <w:tcPr>
            <w:tcW w:type="dxa" w:w="1000"/>
          </w:tcPr>
          <w:p>
            <w:pPr>
              <w:pStyle w:val="Normal-noindent"/>
            </w:pPr>
            <w:r/>
            <w:r>
              <w:t>0.745</w:t>
            </w:r>
          </w:p>
        </w:tc>
        <w:tc>
          <w:tcPr>
            <w:tcW w:type="dxa" w:w="1150"/>
          </w:tcPr>
          <w:p>
            <w:pPr>
              <w:pStyle w:val="Normal-noindent"/>
            </w:pPr>
            <w:r/>
            <w:r>
              <w:t>0.624</w:t>
            </w:r>
          </w:p>
        </w:tc>
      </w:tr>
      <w:tr>
        <w:trPr>
          <w:cantSplit/>
        </w:trPr>
        <w:tc>
          <w:tcPr>
            <w:tcW w:type="dxa" w:w="1480"/>
          </w:tcPr>
          <w:p>
            <w:pPr>
              <w:pStyle w:val="Normal-noindent"/>
            </w:pPr>
            <w:r/>
            <w:r>
              <w:t>tv</w:t>
            </w:r>
          </w:p>
        </w:tc>
        <w:tc>
          <w:tcPr>
            <w:tcW w:type="dxa" w:w="1245"/>
          </w:tcPr>
          <w:p>
            <w:pPr>
              <w:pStyle w:val="Normal-noindent"/>
            </w:pPr>
            <w:r/>
            <w:r>
              <w:t>128</w:t>
            </w:r>
          </w:p>
        </w:tc>
        <w:tc>
          <w:tcPr>
            <w:tcW w:type="dxa" w:w="1900"/>
          </w:tcPr>
          <w:p>
            <w:pPr>
              <w:pStyle w:val="Normal-noindent"/>
            </w:pPr>
            <w:r/>
            <w:r>
              <w:t>104</w:t>
            </w:r>
          </w:p>
        </w:tc>
        <w:tc>
          <w:tcPr>
            <w:tcW w:type="dxa" w:w="1600"/>
          </w:tcPr>
          <w:p>
            <w:pPr>
              <w:pStyle w:val="Normal-noindent"/>
            </w:pPr>
            <w:r/>
            <w:r>
              <w:t>0.875</w:t>
            </w:r>
          </w:p>
        </w:tc>
        <w:tc>
          <w:tcPr>
            <w:tcW w:type="dxa" w:w="1150"/>
          </w:tcPr>
          <w:p>
            <w:pPr>
              <w:pStyle w:val="Normal-noindent"/>
            </w:pPr>
            <w:r/>
            <w:r>
              <w:t>0.711</w:t>
            </w:r>
          </w:p>
        </w:tc>
        <w:tc>
          <w:tcPr>
            <w:tcW w:type="dxa" w:w="1000"/>
          </w:tcPr>
          <w:p>
            <w:pPr>
              <w:pStyle w:val="Normal-noindent"/>
            </w:pPr>
            <w:r/>
            <w:r>
              <w:t>0.784</w:t>
            </w:r>
          </w:p>
        </w:tc>
        <w:tc>
          <w:tcPr>
            <w:tcW w:type="dxa" w:w="1150"/>
          </w:tcPr>
          <w:p>
            <w:pPr>
              <w:pStyle w:val="Normal-noindent"/>
            </w:pPr>
            <w:r/>
            <w:r>
              <w:t>0.701</w:t>
            </w:r>
          </w:p>
        </w:tc>
      </w:tr>
      <w:tr>
        <w:trPr>
          <w:cantSplit/>
        </w:trPr>
        <w:tc>
          <w:tcPr>
            <w:tcW w:type="dxa" w:w="1480"/>
          </w:tcPr>
          <w:p>
            <w:pPr>
              <w:pStyle w:val="Normal-noindent"/>
            </w:pPr>
            <w:r/>
            <w:r>
              <w:t>laptop</w:t>
            </w:r>
          </w:p>
        </w:tc>
        <w:tc>
          <w:tcPr>
            <w:tcW w:type="dxa" w:w="1245"/>
          </w:tcPr>
          <w:p>
            <w:pPr>
              <w:pStyle w:val="Normal-noindent"/>
            </w:pPr>
            <w:r/>
            <w:r>
              <w:t>91</w:t>
            </w:r>
          </w:p>
        </w:tc>
        <w:tc>
          <w:tcPr>
            <w:tcW w:type="dxa" w:w="1900"/>
          </w:tcPr>
          <w:p>
            <w:pPr>
              <w:pStyle w:val="Normal-noindent"/>
            </w:pPr>
            <w:r/>
            <w:r>
              <w:t>92</w:t>
            </w:r>
          </w:p>
        </w:tc>
        <w:tc>
          <w:tcPr>
            <w:tcW w:type="dxa" w:w="1600"/>
          </w:tcPr>
          <w:p>
            <w:pPr>
              <w:pStyle w:val="Normal-noindent"/>
            </w:pPr>
            <w:r/>
            <w:r>
              <w:t>0.772</w:t>
            </w:r>
          </w:p>
        </w:tc>
        <w:tc>
          <w:tcPr>
            <w:tcW w:type="dxa" w:w="1150"/>
          </w:tcPr>
          <w:p>
            <w:pPr>
              <w:pStyle w:val="Normal-noindent"/>
            </w:pPr>
            <w:r/>
            <w:r>
              <w:t>0.780</w:t>
            </w:r>
          </w:p>
        </w:tc>
        <w:tc>
          <w:tcPr>
            <w:tcW w:type="dxa" w:w="1000"/>
          </w:tcPr>
          <w:p>
            <w:pPr>
              <w:pStyle w:val="Normal-noindent"/>
            </w:pPr>
            <w:r/>
            <w:r>
              <w:t>0.776</w:t>
            </w:r>
          </w:p>
        </w:tc>
        <w:tc>
          <w:tcPr>
            <w:tcW w:type="dxa" w:w="1150"/>
          </w:tcPr>
          <w:p>
            <w:pPr>
              <w:pStyle w:val="Normal-noindent"/>
            </w:pPr>
            <w:r/>
            <w:r>
              <w:t>0.759</w:t>
            </w:r>
          </w:p>
        </w:tc>
      </w:tr>
      <w:tr>
        <w:trPr>
          <w:cantSplit/>
        </w:trPr>
        <w:tc>
          <w:tcPr>
            <w:tcW w:type="dxa" w:w="1480"/>
          </w:tcPr>
          <w:p>
            <w:pPr>
              <w:pStyle w:val="Normal-noindent"/>
            </w:pPr>
            <w:r/>
            <w:r>
              <w:t>mouse</w:t>
            </w:r>
          </w:p>
        </w:tc>
        <w:tc>
          <w:tcPr>
            <w:tcW w:type="dxa" w:w="1245"/>
          </w:tcPr>
          <w:p>
            <w:pPr>
              <w:pStyle w:val="Normal-noindent"/>
            </w:pPr>
            <w:r/>
            <w:r>
              <w:t>62</w:t>
            </w:r>
          </w:p>
        </w:tc>
        <w:tc>
          <w:tcPr>
            <w:tcW w:type="dxa" w:w="1900"/>
          </w:tcPr>
          <w:p>
            <w:pPr>
              <w:pStyle w:val="Normal-noindent"/>
            </w:pPr>
            <w:r/>
            <w:r>
              <w:t>43</w:t>
            </w:r>
          </w:p>
        </w:tc>
        <w:tc>
          <w:tcPr>
            <w:tcW w:type="dxa" w:w="1600"/>
          </w:tcPr>
          <w:p>
            <w:pPr>
              <w:pStyle w:val="Normal-noindent"/>
            </w:pPr>
            <w:r/>
            <w:r>
              <w:t>0.884</w:t>
            </w:r>
          </w:p>
        </w:tc>
        <w:tc>
          <w:tcPr>
            <w:tcW w:type="dxa" w:w="1150"/>
          </w:tcPr>
          <w:p>
            <w:pPr>
              <w:pStyle w:val="Normal-noindent"/>
            </w:pPr>
            <w:r/>
            <w:r>
              <w:t>0.613</w:t>
            </w:r>
          </w:p>
        </w:tc>
        <w:tc>
          <w:tcPr>
            <w:tcW w:type="dxa" w:w="1000"/>
          </w:tcPr>
          <w:p>
            <w:pPr>
              <w:pStyle w:val="Normal-noindent"/>
            </w:pPr>
            <w:r/>
            <w:r>
              <w:t>0.724</w:t>
            </w:r>
          </w:p>
        </w:tc>
        <w:tc>
          <w:tcPr>
            <w:tcW w:type="dxa" w:w="1150"/>
          </w:tcPr>
          <w:p>
            <w:pPr>
              <w:pStyle w:val="Normal-noindent"/>
            </w:pPr>
            <w:r/>
            <w:r>
              <w:t>0.611</w:t>
            </w:r>
          </w:p>
        </w:tc>
      </w:tr>
      <w:tr>
        <w:trPr>
          <w:cantSplit/>
        </w:trPr>
        <w:tc>
          <w:tcPr>
            <w:tcW w:type="dxa" w:w="1480"/>
          </w:tcPr>
          <w:p>
            <w:pPr>
              <w:pStyle w:val="Normal-noindent"/>
            </w:pPr>
            <w:r/>
            <w:r>
              <w:t>keyboard</w:t>
            </w:r>
          </w:p>
        </w:tc>
        <w:tc>
          <w:tcPr>
            <w:tcW w:type="dxa" w:w="1245"/>
          </w:tcPr>
          <w:p>
            <w:pPr>
              <w:pStyle w:val="Normal-noindent"/>
            </w:pPr>
            <w:r/>
            <w:r>
              <w:t>95</w:t>
            </w:r>
          </w:p>
        </w:tc>
        <w:tc>
          <w:tcPr>
            <w:tcW w:type="dxa" w:w="1900"/>
          </w:tcPr>
          <w:p>
            <w:pPr>
              <w:pStyle w:val="Normal-noindent"/>
            </w:pPr>
            <w:r/>
            <w:r>
              <w:t>77</w:t>
            </w:r>
          </w:p>
        </w:tc>
        <w:tc>
          <w:tcPr>
            <w:tcW w:type="dxa" w:w="1600"/>
          </w:tcPr>
          <w:p>
            <w:pPr>
              <w:pStyle w:val="Normal-noindent"/>
            </w:pPr>
            <w:r/>
            <w:r>
              <w:t>0.753</w:t>
            </w:r>
          </w:p>
        </w:tc>
        <w:tc>
          <w:tcPr>
            <w:tcW w:type="dxa" w:w="1150"/>
          </w:tcPr>
          <w:p>
            <w:pPr>
              <w:pStyle w:val="Normal-noindent"/>
            </w:pPr>
            <w:r/>
            <w:r>
              <w:t>0.611</w:t>
            </w:r>
          </w:p>
        </w:tc>
        <w:tc>
          <w:tcPr>
            <w:tcW w:type="dxa" w:w="1000"/>
          </w:tcPr>
          <w:p>
            <w:pPr>
              <w:pStyle w:val="Normal-noindent"/>
            </w:pPr>
            <w:r/>
            <w:r>
              <w:t>0.674</w:t>
            </w:r>
          </w:p>
        </w:tc>
        <w:tc>
          <w:tcPr>
            <w:tcW w:type="dxa" w:w="1150"/>
          </w:tcPr>
          <w:p>
            <w:pPr>
              <w:pStyle w:val="Normal-noindent"/>
            </w:pPr>
            <w:r/>
            <w:r>
              <w:t>0.581</w:t>
            </w:r>
          </w:p>
        </w:tc>
      </w:tr>
      <w:tr>
        <w:trPr>
          <w:cantSplit/>
        </w:trPr>
        <w:tc>
          <w:tcPr>
            <w:tcW w:type="dxa" w:w="1480"/>
          </w:tcPr>
          <w:p>
            <w:pPr>
              <w:pStyle w:val="Normal-noindent"/>
            </w:pPr>
            <w:r/>
            <w:r>
              <w:t>cell phone</w:t>
            </w:r>
          </w:p>
        </w:tc>
        <w:tc>
          <w:tcPr>
            <w:tcW w:type="dxa" w:w="1245"/>
          </w:tcPr>
          <w:p>
            <w:pPr>
              <w:pStyle w:val="Normal-noindent"/>
            </w:pPr>
            <w:r/>
            <w:r>
              <w:t>74</w:t>
            </w:r>
          </w:p>
        </w:tc>
        <w:tc>
          <w:tcPr>
            <w:tcW w:type="dxa" w:w="1900"/>
          </w:tcPr>
          <w:p>
            <w:pPr>
              <w:pStyle w:val="Normal-noindent"/>
            </w:pPr>
            <w:r/>
            <w:r>
              <w:t>40</w:t>
            </w:r>
          </w:p>
        </w:tc>
        <w:tc>
          <w:tcPr>
            <w:tcW w:type="dxa" w:w="1600"/>
          </w:tcPr>
          <w:p>
            <w:pPr>
              <w:pStyle w:val="Normal-noindent"/>
            </w:pPr>
            <w:r/>
            <w:r>
              <w:t>0.600</w:t>
            </w:r>
          </w:p>
        </w:tc>
        <w:tc>
          <w:tcPr>
            <w:tcW w:type="dxa" w:w="1150"/>
          </w:tcPr>
          <w:p>
            <w:pPr>
              <w:pStyle w:val="Normal-noindent"/>
            </w:pPr>
            <w:r/>
            <w:r>
              <w:t>0.324</w:t>
            </w:r>
          </w:p>
        </w:tc>
        <w:tc>
          <w:tcPr>
            <w:tcW w:type="dxa" w:w="1000"/>
          </w:tcPr>
          <w:p>
            <w:pPr>
              <w:pStyle w:val="Normal-noindent"/>
            </w:pPr>
            <w:r/>
            <w:r>
              <w:t>0.421</w:t>
            </w:r>
          </w:p>
        </w:tc>
        <w:tc>
          <w:tcPr>
            <w:tcW w:type="dxa" w:w="1150"/>
          </w:tcPr>
          <w:p>
            <w:pPr>
              <w:pStyle w:val="Normal-noindent"/>
            </w:pPr>
            <w:r/>
            <w:r>
              <w:t>0.300</w:t>
            </w:r>
          </w:p>
        </w:tc>
      </w:tr>
      <w:tr>
        <w:trPr>
          <w:cantSplit/>
        </w:trPr>
        <w:tc>
          <w:tcPr>
            <w:tcW w:type="dxa" w:w="1480"/>
          </w:tcPr>
          <w:p>
            <w:pPr>
              <w:pStyle w:val="Normal-noindent"/>
            </w:pPr>
            <w:r/>
            <w:r>
              <w:t>book</w:t>
            </w:r>
          </w:p>
        </w:tc>
        <w:tc>
          <w:tcPr>
            <w:tcW w:type="dxa" w:w="1245"/>
          </w:tcPr>
          <w:p>
            <w:pPr>
              <w:pStyle w:val="Normal-noindent"/>
            </w:pPr>
            <w:r/>
            <w:r>
              <w:t>265</w:t>
            </w:r>
          </w:p>
        </w:tc>
        <w:tc>
          <w:tcPr>
            <w:tcW w:type="dxa" w:w="1900"/>
          </w:tcPr>
          <w:p>
            <w:pPr>
              <w:pStyle w:val="Normal-noindent"/>
            </w:pPr>
            <w:r/>
            <w:r>
              <w:t>34</w:t>
            </w:r>
          </w:p>
        </w:tc>
        <w:tc>
          <w:tcPr>
            <w:tcW w:type="dxa" w:w="1600"/>
          </w:tcPr>
          <w:p>
            <w:pPr>
              <w:pStyle w:val="Normal-noindent"/>
            </w:pPr>
            <w:r/>
            <w:r>
              <w:t>0.529</w:t>
            </w:r>
          </w:p>
        </w:tc>
        <w:tc>
          <w:tcPr>
            <w:tcW w:type="dxa" w:w="1150"/>
          </w:tcPr>
          <w:p>
            <w:pPr>
              <w:pStyle w:val="Normal-noindent"/>
            </w:pPr>
            <w:r/>
            <w:r>
              <w:t>0.068</w:t>
            </w:r>
          </w:p>
        </w:tc>
        <w:tc>
          <w:tcPr>
            <w:tcW w:type="dxa" w:w="1000"/>
          </w:tcPr>
          <w:p>
            <w:pPr>
              <w:pStyle w:val="Normal-noindent"/>
            </w:pPr>
            <w:r/>
            <w:r>
              <w:t>0.120</w:t>
            </w:r>
          </w:p>
        </w:tc>
        <w:tc>
          <w:tcPr>
            <w:tcW w:type="dxa" w:w="1150"/>
          </w:tcPr>
          <w:p>
            <w:pPr>
              <w:pStyle w:val="Normal-noindent"/>
            </w:pPr>
            <w:r/>
            <w:r>
              <w:t>0.056</w:t>
            </w:r>
          </w:p>
        </w:tc>
      </w:tr>
      <w:tr>
        <w:trPr>
          <w:cantSplit/>
        </w:trPr>
        <w:tc>
          <w:tcPr>
            <w:tcW w:type="dxa" w:w="1480"/>
          </w:tcPr>
          <w:p>
            <w:pPr>
              <w:pStyle w:val="Normal-noindent"/>
            </w:pPr>
            <w:r/>
            <w:r>
              <w:rPr>
                <w:b/>
              </w:rPr>
              <w:t>Macro</w:t>
            </w:r>
          </w:p>
        </w:tc>
        <w:tc>
          <w:tcPr>
            <w:tcW w:type="dxa" w:w="1245"/>
          </w:tcPr>
          <w:p>
            <w:pPr>
              <w:pStyle w:val="Normal-noindent"/>
            </w:pPr>
            <w:r/>
            <w:r/>
          </w:p>
        </w:tc>
        <w:tc>
          <w:tcPr>
            <w:tcW w:type="dxa" w:w="1900"/>
          </w:tcPr>
          <w:p>
            <w:pPr>
              <w:pStyle w:val="Normal-noindent"/>
            </w:pPr>
            <w:r/>
            <w:r/>
          </w:p>
        </w:tc>
        <w:tc>
          <w:tcPr>
            <w:tcW w:type="dxa" w:w="1600"/>
          </w:tcPr>
          <w:p>
            <w:pPr>
              <w:pStyle w:val="Normal-noindent"/>
            </w:pPr>
            <w:r/>
            <w:r/>
          </w:p>
        </w:tc>
        <w:tc>
          <w:tcPr>
            <w:tcW w:type="dxa" w:w="1150"/>
          </w:tcPr>
          <w:p>
            <w:pPr>
              <w:pStyle w:val="Normal-noindent"/>
            </w:pPr>
            <w:r/>
            <w:r/>
          </w:p>
        </w:tc>
        <w:tc>
          <w:tcPr>
            <w:tcW w:type="dxa" w:w="1000"/>
          </w:tcPr>
          <w:p>
            <w:pPr>
              <w:pStyle w:val="Normal-noindent"/>
            </w:pPr>
            <w:r/>
            <w:r>
              <w:rPr>
                <w:b/>
              </w:rPr>
              <w:t>0.606</w:t>
            </w:r>
          </w:p>
        </w:tc>
        <w:tc>
          <w:tcPr>
            <w:tcW w:type="dxa" w:w="1150"/>
          </w:tcPr>
          <w:p>
            <w:pPr>
              <w:pStyle w:val="Normal-noindent"/>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902"/>
        <w:gridCol w:w="1205"/>
        <w:gridCol w:w="1165"/>
        <w:gridCol w:w="2227"/>
        <w:gridCol w:w="2026"/>
      </w:tblGrid>
      <w:tr>
        <w:trPr>
          <w:tblHeader w:val="true"/>
          <w:cantSplit/>
        </w:trPr>
        <w:tc>
          <w:tcPr>
            <w:tcW w:type="dxa" w:w="2902"/>
          </w:tcPr>
          <w:p>
            <w:pPr>
              <w:pStyle w:val="Normal-noindent"/>
            </w:pPr>
            <w:r/>
            <w:r>
              <w:rPr>
                <w:b/>
              </w:rPr>
              <w:t>Signal</w:t>
            </w:r>
          </w:p>
        </w:tc>
        <w:tc>
          <w:tcPr>
            <w:tcW w:type="dxa" w:w="1205"/>
          </w:tcPr>
          <w:p>
            <w:pPr>
              <w:pStyle w:val="Normal-noindent"/>
            </w:pPr>
            <w:r/>
            <w:r>
              <w:rPr>
                <w:b/>
              </w:rPr>
              <w:t>ROC AUC</w:t>
            </w:r>
          </w:p>
        </w:tc>
        <w:tc>
          <w:tcPr>
            <w:tcW w:type="dxa" w:w="1165"/>
          </w:tcPr>
          <w:p>
            <w:pPr>
              <w:pStyle w:val="Normal-noindent"/>
            </w:pPr>
            <w:r/>
            <w:r>
              <w:rPr>
                <w:b/>
              </w:rPr>
              <w:t>PR AUC</w:t>
            </w:r>
          </w:p>
        </w:tc>
        <w:tc>
          <w:tcPr>
            <w:tcW w:type="dxa" w:w="2227"/>
          </w:tcPr>
          <w:p>
            <w:pPr>
              <w:pStyle w:val="Normal-noindent"/>
            </w:pPr>
            <w:r/>
            <w:r>
              <w:rPr>
                <w:b/>
              </w:rPr>
              <w:t>F1 @ best threshold</w:t>
            </w:r>
          </w:p>
        </w:tc>
        <w:tc>
          <w:tcPr>
            <w:tcW w:type="dxa" w:w="2026"/>
          </w:tcPr>
          <w:p>
            <w:pPr>
              <w:pStyle w:val="Normal-noindent"/>
            </w:pPr>
            <w:r/>
            <w:r>
              <w:rPr>
                <w:b/>
              </w:rPr>
              <w:t>Best threshold</w:t>
            </w:r>
          </w:p>
        </w:tc>
      </w:tr>
      <w:tr>
        <w:trPr>
          <w:cantSplit/>
        </w:trPr>
        <w:tc>
          <w:tcPr>
            <w:tcW w:type="dxa" w:w="2902"/>
          </w:tcPr>
          <w:p>
            <w:pPr>
              <w:pStyle w:val="Normal-noindent"/>
            </w:pPr>
            <w:r/>
            <w:r>
              <w:t>Secondary-speaker probability</w:t>
            </w:r>
          </w:p>
        </w:tc>
        <w:tc>
          <w:tcPr>
            <w:tcW w:type="dxa" w:w="1205"/>
          </w:tcPr>
          <w:p>
            <w:pPr>
              <w:pStyle w:val="Normal-noindent"/>
            </w:pPr>
            <w:r/>
            <w:r>
              <w:t>0.774</w:t>
            </w:r>
          </w:p>
        </w:tc>
        <w:tc>
          <w:tcPr>
            <w:tcW w:type="dxa" w:w="1165"/>
          </w:tcPr>
          <w:p>
            <w:pPr>
              <w:pStyle w:val="Normal-noindent"/>
            </w:pPr>
            <w:r/>
            <w:r>
              <w:t>0.600</w:t>
            </w:r>
          </w:p>
        </w:tc>
        <w:tc>
          <w:tcPr>
            <w:tcW w:type="dxa" w:w="2227"/>
          </w:tcPr>
          <w:p>
            <w:pPr>
              <w:pStyle w:val="Normal-noindent"/>
            </w:pPr>
            <w:r/>
            <w:r>
              <w:t>0.779</w:t>
            </w:r>
          </w:p>
        </w:tc>
        <w:tc>
          <w:tcPr>
            <w:tcW w:type="dxa" w:w="2026"/>
          </w:tcPr>
          <w:p>
            <w:pPr>
              <w:pStyle w:val="Normal-noindent"/>
            </w:pPr>
            <w:r/>
            <w:r>
              <w:t>0.017</w:t>
            </w:r>
          </w:p>
        </w:tc>
      </w:tr>
      <w:tr>
        <w:trPr>
          <w:cantSplit/>
        </w:trPr>
        <w:tc>
          <w:tcPr>
            <w:tcW w:type="dxa" w:w="2902"/>
          </w:tcPr>
          <w:p>
            <w:pPr>
              <w:pStyle w:val="Normal-noindent"/>
            </w:pPr>
            <w:r/>
            <w:r>
              <w:t>Overlap probability</w:t>
            </w:r>
          </w:p>
        </w:tc>
        <w:tc>
          <w:tcPr>
            <w:tcW w:type="dxa" w:w="1205"/>
          </w:tcPr>
          <w:p>
            <w:pPr>
              <w:pStyle w:val="Normal-noindent"/>
            </w:pPr>
            <w:r/>
            <w:r>
              <w:t>0.771</w:t>
            </w:r>
          </w:p>
        </w:tc>
        <w:tc>
          <w:tcPr>
            <w:tcW w:type="dxa" w:w="1165"/>
          </w:tcPr>
          <w:p>
            <w:pPr>
              <w:pStyle w:val="Normal-noindent"/>
            </w:pPr>
            <w:r/>
            <w:r>
              <w:t>0.601</w:t>
            </w:r>
          </w:p>
        </w:tc>
        <w:tc>
          <w:tcPr>
            <w:tcW w:type="dxa" w:w="2227"/>
          </w:tcPr>
          <w:p>
            <w:pPr>
              <w:pStyle w:val="Normal-noindent"/>
            </w:pPr>
            <w:r/>
            <w:r>
              <w:t>0.770</w:t>
            </w:r>
          </w:p>
        </w:tc>
        <w:tc>
          <w:tcPr>
            <w:tcW w:type="dxa" w:w="2026"/>
          </w:tcPr>
          <w:p>
            <w:pPr>
              <w:pStyle w:val="Normal-noindent"/>
            </w:pPr>
            <w:r/>
            <w:r>
              <w:t>0.004</w:t>
            </w:r>
          </w:p>
        </w:tc>
      </w:tr>
      <w:tr>
        <w:trPr>
          <w:cantSplit/>
        </w:trPr>
        <w:tc>
          <w:tcPr>
            <w:tcW w:type="dxa" w:w="2902"/>
          </w:tcPr>
          <w:p>
            <w:pPr>
              <w:pStyle w:val="Normal-noindent"/>
            </w:pPr>
            <w:r/>
            <w:r>
              <w:t>Whisper probability</w:t>
            </w:r>
          </w:p>
        </w:tc>
        <w:tc>
          <w:tcPr>
            <w:tcW w:type="dxa" w:w="1205"/>
          </w:tcPr>
          <w:p>
            <w:pPr>
              <w:pStyle w:val="Normal-noindent"/>
            </w:pPr>
            <w:r/>
            <w:r>
              <w:t>0.935</w:t>
            </w:r>
          </w:p>
        </w:tc>
        <w:tc>
          <w:tcPr>
            <w:tcW w:type="dxa" w:w="1165"/>
          </w:tcPr>
          <w:p>
            <w:pPr>
              <w:pStyle w:val="Normal-noindent"/>
            </w:pPr>
            <w:r/>
            <w:r>
              <w:t>0.910</w:t>
            </w:r>
          </w:p>
        </w:tc>
        <w:tc>
          <w:tcPr>
            <w:tcW w:type="dxa" w:w="2227"/>
          </w:tcPr>
          <w:p>
            <w:pPr>
              <w:pStyle w:val="Normal-noindent"/>
            </w:pPr>
            <w:r/>
            <w:r>
              <w:t>0.832</w:t>
            </w:r>
          </w:p>
        </w:tc>
        <w:tc>
          <w:tcPr>
            <w:tcW w:type="dxa" w:w="2026"/>
          </w:tcPr>
          <w:p>
            <w:pPr>
              <w:pStyle w:val="Normal-noindent"/>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79"/>
        <w:gridCol w:w="1193"/>
        <w:gridCol w:w="1155"/>
        <w:gridCol w:w="2193"/>
        <w:gridCol w:w="2405"/>
      </w:tblGrid>
      <w:tr>
        <w:trPr>
          <w:tblHeader w:val="true"/>
          <w:cantSplit/>
        </w:trPr>
        <w:tc>
          <w:tcPr>
            <w:tcW w:type="dxa" w:w="2579"/>
          </w:tcPr>
          <w:p>
            <w:pPr>
              <w:pStyle w:val="Normal-noindent"/>
            </w:pPr>
            <w:r/>
            <w:r>
              <w:rPr>
                <w:b/>
              </w:rPr>
              <w:t>Task</w:t>
            </w:r>
          </w:p>
        </w:tc>
        <w:tc>
          <w:tcPr>
            <w:tcW w:type="dxa" w:w="1193"/>
          </w:tcPr>
          <w:p>
            <w:pPr>
              <w:pStyle w:val="Normal-noindent"/>
            </w:pPr>
            <w:r/>
            <w:r>
              <w:rPr>
                <w:b/>
              </w:rPr>
              <w:t>ROC AUC</w:t>
            </w:r>
          </w:p>
        </w:tc>
        <w:tc>
          <w:tcPr>
            <w:tcW w:type="dxa" w:w="1155"/>
          </w:tcPr>
          <w:p>
            <w:pPr>
              <w:pStyle w:val="Normal-noindent"/>
            </w:pPr>
            <w:r/>
            <w:r>
              <w:rPr>
                <w:b/>
              </w:rPr>
              <w:t>PR AUC</w:t>
            </w:r>
          </w:p>
        </w:tc>
        <w:tc>
          <w:tcPr>
            <w:tcW w:type="dxa" w:w="2193"/>
          </w:tcPr>
          <w:p>
            <w:pPr>
              <w:pStyle w:val="Normal-noindent"/>
            </w:pPr>
            <w:r/>
            <w:r>
              <w:rPr>
                <w:b/>
              </w:rPr>
              <w:t>F1 @ best threshold</w:t>
            </w:r>
          </w:p>
        </w:tc>
        <w:tc>
          <w:tcPr>
            <w:tcW w:type="dxa" w:w="2405"/>
          </w:tcPr>
          <w:p>
            <w:pPr>
              <w:pStyle w:val="Normal-noindent"/>
            </w:pPr>
            <w:r/>
            <w:r>
              <w:rPr>
                <w:b/>
              </w:rPr>
              <w:t>Best threshold</w:t>
            </w:r>
          </w:p>
        </w:tc>
      </w:tr>
      <w:tr>
        <w:trPr>
          <w:cantSplit/>
        </w:trPr>
        <w:tc>
          <w:tcPr>
            <w:tcW w:type="dxa" w:w="2579"/>
          </w:tcPr>
          <w:p>
            <w:pPr>
              <w:pStyle w:val="Normal-noindent"/>
            </w:pPr>
            <w:r/>
            <w:r>
              <w:t>Sustained off-screen gaze</w:t>
            </w:r>
          </w:p>
        </w:tc>
        <w:tc>
          <w:tcPr>
            <w:tcW w:type="dxa" w:w="1193"/>
          </w:tcPr>
          <w:p>
            <w:pPr>
              <w:pStyle w:val="Normal-noindent"/>
            </w:pPr>
            <w:r/>
            <w:r>
              <w:t>0.938</w:t>
            </w:r>
          </w:p>
        </w:tc>
        <w:tc>
          <w:tcPr>
            <w:tcW w:type="dxa" w:w="1155"/>
          </w:tcPr>
          <w:p>
            <w:pPr>
              <w:pStyle w:val="Normal-noindent"/>
            </w:pPr>
            <w:r/>
            <w:r>
              <w:t>0.886</w:t>
            </w:r>
          </w:p>
        </w:tc>
        <w:tc>
          <w:tcPr>
            <w:tcW w:type="dxa" w:w="2193"/>
          </w:tcPr>
          <w:p>
            <w:pPr>
              <w:pStyle w:val="Normal-noindent"/>
            </w:pPr>
            <w:r/>
            <w:r>
              <w:t>0.873</w:t>
            </w:r>
          </w:p>
        </w:tc>
        <w:tc>
          <w:tcPr>
            <w:tcW w:type="dxa" w:w="2405"/>
          </w:tcPr>
          <w:p>
            <w:pPr>
              <w:pStyle w:val="Normal-noindent"/>
            </w:pPr>
            <w:r/>
            <w:r>
              <w:t>32.2° (combined)</w:t>
            </w:r>
          </w:p>
        </w:tc>
      </w:tr>
      <w:tr>
        <w:trPr>
          <w:cantSplit/>
        </w:trPr>
        <w:tc>
          <w:tcPr>
            <w:tcW w:type="dxa" w:w="2579"/>
          </w:tcPr>
          <w:p>
            <w:pPr>
              <w:pStyle w:val="Normal-noindent"/>
            </w:pPr>
            <w:r/>
            <w:r>
              <w:t>Lip movement without keyboard</w:t>
            </w:r>
          </w:p>
        </w:tc>
        <w:tc>
          <w:tcPr>
            <w:tcW w:type="dxa" w:w="1193"/>
          </w:tcPr>
          <w:p>
            <w:pPr>
              <w:pStyle w:val="Normal-noindent"/>
            </w:pPr>
            <w:r/>
            <w:r>
              <w:t>0.663</w:t>
            </w:r>
          </w:p>
        </w:tc>
        <w:tc>
          <w:tcPr>
            <w:tcW w:type="dxa" w:w="1155"/>
          </w:tcPr>
          <w:p>
            <w:pPr>
              <w:pStyle w:val="Normal-noindent"/>
            </w:pPr>
            <w:r/>
            <w:r>
              <w:t>0.314</w:t>
            </w:r>
          </w:p>
        </w:tc>
        <w:tc>
          <w:tcPr>
            <w:tcW w:type="dxa" w:w="2193"/>
          </w:tcPr>
          <w:p>
            <w:pPr>
              <w:pStyle w:val="Normal-noindent"/>
            </w:pPr>
            <w:r/>
            <w:r>
              <w:t>0.393</w:t>
            </w:r>
          </w:p>
        </w:tc>
        <w:tc>
          <w:tcPr>
            <w:tcW w:type="dxa" w:w="2405"/>
          </w:tcPr>
          <w:p>
            <w:pPr>
              <w:pStyle w:val="Normal-noindent"/>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 The ROC AUC and PR AUC columns of Table 5 are means of the five per-fold values, whereas Figure 9 plots a single ROC over the pooled out-of-fold predictions; the two therefore differ by a few thousandths (for example random forest 0.886 averaged versus 0.882 pooled), which is expected since the mean of fold-wise AUCs is not identical to the AUC of the pooled scores.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95"/>
        <w:gridCol w:w="1146"/>
        <w:gridCol w:w="1618"/>
        <w:gridCol w:w="1162"/>
        <w:gridCol w:w="1044"/>
        <w:gridCol w:w="1027"/>
        <w:gridCol w:w="1433"/>
      </w:tblGrid>
      <w:tr>
        <w:trPr>
          <w:tblHeader w:val="true"/>
          <w:cantSplit/>
        </w:trPr>
        <w:tc>
          <w:tcPr>
            <w:tcW w:type="dxa" w:w="2095"/>
          </w:tcPr>
          <w:p>
            <w:pPr>
              <w:pStyle w:val="Normal-noindent"/>
            </w:pPr>
            <w:r/>
            <w:r>
              <w:rPr>
                <w:b/>
              </w:rPr>
              <w:t>Model</w:t>
            </w:r>
          </w:p>
        </w:tc>
        <w:tc>
          <w:tcPr>
            <w:tcW w:type="dxa" w:w="1146"/>
          </w:tcPr>
          <w:p>
            <w:pPr>
              <w:pStyle w:val="Normal-noindent"/>
            </w:pPr>
            <w:r/>
            <w:r>
              <w:rPr>
                <w:b/>
              </w:rPr>
              <w:t>F1</w:t>
            </w:r>
          </w:p>
        </w:tc>
        <w:tc>
          <w:tcPr>
            <w:tcW w:type="dxa" w:w="1618"/>
          </w:tcPr>
          <w:p>
            <w:pPr>
              <w:pStyle w:val="Normal-noindent"/>
            </w:pPr>
            <w:r/>
            <w:r>
              <w:rPr>
                <w:b/>
              </w:rPr>
              <w:t>Precision</w:t>
            </w:r>
          </w:p>
        </w:tc>
        <w:tc>
          <w:tcPr>
            <w:tcW w:type="dxa" w:w="1162"/>
          </w:tcPr>
          <w:p>
            <w:pPr>
              <w:pStyle w:val="Normal-noindent"/>
            </w:pPr>
            <w:r/>
            <w:r>
              <w:rPr>
                <w:b/>
              </w:rPr>
              <w:t>Recall</w:t>
            </w:r>
          </w:p>
        </w:tc>
        <w:tc>
          <w:tcPr>
            <w:tcW w:type="dxa" w:w="1044"/>
          </w:tcPr>
          <w:p>
            <w:pPr>
              <w:pStyle w:val="Normal-noindent"/>
            </w:pPr>
            <w:r/>
            <w:r>
              <w:rPr>
                <w:b/>
              </w:rPr>
              <w:t>ROC AUC</w:t>
            </w:r>
          </w:p>
        </w:tc>
        <w:tc>
          <w:tcPr>
            <w:tcW w:type="dxa" w:w="1027"/>
          </w:tcPr>
          <w:p>
            <w:pPr>
              <w:pStyle w:val="Normal-noindent"/>
            </w:pPr>
            <w:r/>
            <w:r>
              <w:rPr>
                <w:b/>
              </w:rPr>
              <w:t>PR AUC</w:t>
            </w:r>
          </w:p>
        </w:tc>
        <w:tc>
          <w:tcPr>
            <w:tcW w:type="dxa" w:w="1433"/>
          </w:tcPr>
          <w:p>
            <w:pPr>
              <w:pStyle w:val="Normal-noindent"/>
            </w:pPr>
            <w:r/>
            <w:r>
              <w:rPr>
                <w:b/>
              </w:rPr>
              <w:t>95% CI on F1</w:t>
            </w:r>
          </w:p>
        </w:tc>
      </w:tr>
      <w:tr>
        <w:trPr>
          <w:cantSplit/>
        </w:trPr>
        <w:tc>
          <w:tcPr>
            <w:tcW w:type="dxa" w:w="2095"/>
          </w:tcPr>
          <w:p>
            <w:pPr>
              <w:pStyle w:val="Normal-noindent"/>
            </w:pPr>
            <w:r/>
            <w:r>
              <w:t>Weighted sum (paper baseline)</w:t>
            </w:r>
          </w:p>
        </w:tc>
        <w:tc>
          <w:tcPr>
            <w:tcW w:type="dxa" w:w="1146"/>
          </w:tcPr>
          <w:p>
            <w:pPr>
              <w:pStyle w:val="Normal-noindent"/>
            </w:pPr>
            <w:r/>
            <w:r>
              <w:t>0.899 ± 0.011</w:t>
            </w:r>
          </w:p>
        </w:tc>
        <w:tc>
          <w:tcPr>
            <w:tcW w:type="dxa" w:w="1618"/>
          </w:tcPr>
          <w:p>
            <w:pPr>
              <w:pStyle w:val="Normal-noindent"/>
            </w:pPr>
            <w:r/>
            <w:r>
              <w:t>0.831</w:t>
            </w:r>
          </w:p>
        </w:tc>
        <w:tc>
          <w:tcPr>
            <w:tcW w:type="dxa" w:w="1162"/>
          </w:tcPr>
          <w:p>
            <w:pPr>
              <w:pStyle w:val="Normal-noindent"/>
            </w:pPr>
            <w:r/>
            <w:r>
              <w:t>0.979</w:t>
            </w:r>
          </w:p>
        </w:tc>
        <w:tc>
          <w:tcPr>
            <w:tcW w:type="dxa" w:w="1044"/>
          </w:tcPr>
          <w:p>
            <w:pPr>
              <w:pStyle w:val="Normal-noindent"/>
            </w:pPr>
            <w:r/>
            <w:r>
              <w:t>0.729</w:t>
            </w:r>
          </w:p>
        </w:tc>
        <w:tc>
          <w:tcPr>
            <w:tcW w:type="dxa" w:w="1027"/>
          </w:tcPr>
          <w:p>
            <w:pPr>
              <w:pStyle w:val="Normal-noindent"/>
            </w:pPr>
            <w:r/>
            <w:r>
              <w:t>0.905</w:t>
            </w:r>
          </w:p>
        </w:tc>
        <w:tc>
          <w:tcPr>
            <w:tcW w:type="dxa" w:w="1433"/>
          </w:tcPr>
          <w:p>
            <w:pPr>
              <w:pStyle w:val="Normal-noindent"/>
            </w:pPr>
            <w:r/>
            <w:r>
              <w:t>[0.871, 0.924]</w:t>
            </w:r>
          </w:p>
        </w:tc>
      </w:tr>
      <w:tr>
        <w:trPr>
          <w:cantSplit/>
        </w:trPr>
        <w:tc>
          <w:tcPr>
            <w:tcW w:type="dxa" w:w="2095"/>
          </w:tcPr>
          <w:p>
            <w:pPr>
              <w:pStyle w:val="Normal-noindent"/>
            </w:pPr>
            <w:r/>
            <w:r>
              <w:t>Logistic regression</w:t>
            </w:r>
          </w:p>
        </w:tc>
        <w:tc>
          <w:tcPr>
            <w:tcW w:type="dxa" w:w="1146"/>
          </w:tcPr>
          <w:p>
            <w:pPr>
              <w:pStyle w:val="Normal-noindent"/>
            </w:pPr>
            <w:r/>
            <w:r>
              <w:t>0.873 ± 0.020</w:t>
            </w:r>
          </w:p>
        </w:tc>
        <w:tc>
          <w:tcPr>
            <w:tcW w:type="dxa" w:w="1618"/>
          </w:tcPr>
          <w:p>
            <w:pPr>
              <w:pStyle w:val="Normal-noindent"/>
            </w:pPr>
            <w:r/>
            <w:r>
              <w:t>0.961</w:t>
            </w:r>
          </w:p>
        </w:tc>
        <w:tc>
          <w:tcPr>
            <w:tcW w:type="dxa" w:w="1162"/>
          </w:tcPr>
          <w:p>
            <w:pPr>
              <w:pStyle w:val="Normal-noindent"/>
            </w:pPr>
            <w:r/>
            <w:r>
              <w:t>0.800</w:t>
            </w:r>
          </w:p>
        </w:tc>
        <w:tc>
          <w:tcPr>
            <w:tcW w:type="dxa" w:w="1044"/>
          </w:tcPr>
          <w:p>
            <w:pPr>
              <w:pStyle w:val="Normal-noindent"/>
            </w:pPr>
            <w:r/>
            <w:r>
              <w:t>0.912</w:t>
            </w:r>
          </w:p>
        </w:tc>
        <w:tc>
          <w:tcPr>
            <w:tcW w:type="dxa" w:w="1027"/>
          </w:tcPr>
          <w:p>
            <w:pPr>
              <w:pStyle w:val="Normal-noindent"/>
            </w:pPr>
            <w:r/>
            <w:r>
              <w:t>0.976</w:t>
            </w:r>
          </w:p>
        </w:tc>
        <w:tc>
          <w:tcPr>
            <w:tcW w:type="dxa" w:w="1433"/>
          </w:tcPr>
          <w:p>
            <w:pPr>
              <w:pStyle w:val="Normal-noindent"/>
            </w:pPr>
            <w:r/>
            <w:r>
              <w:t>[0.837, 0.904]</w:t>
            </w:r>
          </w:p>
        </w:tc>
      </w:tr>
      <w:tr>
        <w:trPr>
          <w:cantSplit/>
        </w:trPr>
        <w:tc>
          <w:tcPr>
            <w:tcW w:type="dxa" w:w="2095"/>
          </w:tcPr>
          <w:p>
            <w:pPr>
              <w:pStyle w:val="Normal-noindent"/>
            </w:pPr>
            <w:r/>
            <w:r>
              <w:rPr>
                <w:b/>
              </w:rPr>
              <w:t>Random forest</w:t>
            </w:r>
          </w:p>
        </w:tc>
        <w:tc>
          <w:tcPr>
            <w:tcW w:type="dxa" w:w="1146"/>
          </w:tcPr>
          <w:p>
            <w:pPr>
              <w:pStyle w:val="Normal-noindent"/>
            </w:pPr>
            <w:r/>
            <w:r>
              <w:rPr>
                <w:b/>
              </w:rPr>
              <w:t>0.905 ± 0.041</w:t>
            </w:r>
          </w:p>
        </w:tc>
        <w:tc>
          <w:tcPr>
            <w:tcW w:type="dxa" w:w="1618"/>
          </w:tcPr>
          <w:p>
            <w:pPr>
              <w:pStyle w:val="Normal-noindent"/>
            </w:pPr>
            <w:r/>
            <w:r>
              <w:t>0.891</w:t>
            </w:r>
          </w:p>
        </w:tc>
        <w:tc>
          <w:tcPr>
            <w:tcW w:type="dxa" w:w="1162"/>
          </w:tcPr>
          <w:p>
            <w:pPr>
              <w:pStyle w:val="Normal-noindent"/>
            </w:pPr>
            <w:r/>
            <w:r>
              <w:t>0.921</w:t>
            </w:r>
          </w:p>
        </w:tc>
        <w:tc>
          <w:tcPr>
            <w:tcW w:type="dxa" w:w="1044"/>
          </w:tcPr>
          <w:p>
            <w:pPr>
              <w:pStyle w:val="Normal-noindent"/>
            </w:pPr>
            <w:r/>
            <w:r>
              <w:t>0.886</w:t>
            </w:r>
          </w:p>
        </w:tc>
        <w:tc>
          <w:tcPr>
            <w:tcW w:type="dxa" w:w="1027"/>
          </w:tcPr>
          <w:p>
            <w:pPr>
              <w:pStyle w:val="Normal-noindent"/>
            </w:pPr>
            <w:r/>
            <w:r>
              <w:t>0.968</w:t>
            </w:r>
          </w:p>
        </w:tc>
        <w:tc>
          <w:tcPr>
            <w:tcW w:type="dxa" w:w="1433"/>
          </w:tcPr>
          <w:p>
            <w:pPr>
              <w:pStyle w:val="Normal-noindent"/>
            </w:pPr>
            <w:r/>
            <w:r>
              <w:rPr>
                <w:b/>
              </w:rPr>
              <w:t>[0.876, 0.931]</w:t>
            </w:r>
          </w:p>
        </w:tc>
      </w:tr>
      <w:tr>
        <w:trPr>
          <w:cantSplit/>
        </w:trPr>
        <w:tc>
          <w:tcPr>
            <w:tcW w:type="dxa" w:w="2095"/>
          </w:tcPr>
          <w:p>
            <w:pPr>
              <w:pStyle w:val="Normal-noindent"/>
            </w:pPr>
            <w:r/>
            <w:r>
              <w:t>MLP (32, 16)</w:t>
            </w:r>
          </w:p>
        </w:tc>
        <w:tc>
          <w:tcPr>
            <w:tcW w:type="dxa" w:w="1146"/>
          </w:tcPr>
          <w:p>
            <w:pPr>
              <w:pStyle w:val="Normal-noindent"/>
            </w:pPr>
            <w:r/>
            <w:r>
              <w:t>0.861 ± 0.028</w:t>
            </w:r>
          </w:p>
        </w:tc>
        <w:tc>
          <w:tcPr>
            <w:tcW w:type="dxa" w:w="1618"/>
          </w:tcPr>
          <w:p>
            <w:pPr>
              <w:pStyle w:val="Normal-noindent"/>
            </w:pPr>
            <w:r/>
            <w:r>
              <w:t>0.826</w:t>
            </w:r>
          </w:p>
        </w:tc>
        <w:tc>
          <w:tcPr>
            <w:tcW w:type="dxa" w:w="1162"/>
          </w:tcPr>
          <w:p>
            <w:pPr>
              <w:pStyle w:val="Normal-noindent"/>
            </w:pPr>
            <w:r/>
            <w:r>
              <w:t>0.900</w:t>
            </w:r>
          </w:p>
        </w:tc>
        <w:tc>
          <w:tcPr>
            <w:tcW w:type="dxa" w:w="1044"/>
          </w:tcPr>
          <w:p>
            <w:pPr>
              <w:pStyle w:val="Normal-noindent"/>
            </w:pPr>
            <w:r/>
            <w:r>
              <w:t>0.703</w:t>
            </w:r>
          </w:p>
        </w:tc>
        <w:tc>
          <w:tcPr>
            <w:tcW w:type="dxa" w:w="1027"/>
          </w:tcPr>
          <w:p>
            <w:pPr>
              <w:pStyle w:val="Normal-noindent"/>
            </w:pPr>
            <w:r/>
            <w:r>
              <w:t>0.914</w:t>
            </w:r>
          </w:p>
        </w:tc>
        <w:tc>
          <w:tcPr>
            <w:tcW w:type="dxa" w:w="1433"/>
          </w:tcPr>
          <w:p>
            <w:pPr>
              <w:pStyle w:val="Normal-noindent"/>
            </w:pPr>
            <w:r/>
            <w:r>
              <w:t>[0.828, 0.890]</w:t>
            </w:r>
          </w:p>
        </w:tc>
      </w:tr>
      <w:tr>
        <w:trPr>
          <w:cantSplit/>
        </w:trPr>
        <w:tc>
          <w:tcPr>
            <w:tcW w:type="dxa" w:w="2095"/>
          </w:tcPr>
          <w:p>
            <w:pPr>
              <w:pStyle w:val="Normal-noindent"/>
            </w:pPr>
            <w:r/>
            <w:r>
              <w:t>Gaussian naive Bayes</w:t>
            </w:r>
          </w:p>
        </w:tc>
        <w:tc>
          <w:tcPr>
            <w:tcW w:type="dxa" w:w="1146"/>
          </w:tcPr>
          <w:p>
            <w:pPr>
              <w:pStyle w:val="Normal-noindent"/>
            </w:pPr>
            <w:r/>
            <w:r>
              <w:t>0.803 ± 0.044</w:t>
            </w:r>
          </w:p>
        </w:tc>
        <w:tc>
          <w:tcPr>
            <w:tcW w:type="dxa" w:w="1618"/>
          </w:tcPr>
          <w:p>
            <w:pPr>
              <w:pStyle w:val="Normal-noindent"/>
            </w:pPr>
            <w:r/>
            <w:r>
              <w:t>0.944</w:t>
            </w:r>
          </w:p>
        </w:tc>
        <w:tc>
          <w:tcPr>
            <w:tcW w:type="dxa" w:w="1162"/>
          </w:tcPr>
          <w:p>
            <w:pPr>
              <w:pStyle w:val="Normal-noindent"/>
            </w:pPr>
            <w:r/>
            <w:r>
              <w:t>0.700</w:t>
            </w:r>
          </w:p>
        </w:tc>
        <w:tc>
          <w:tcPr>
            <w:tcW w:type="dxa" w:w="1044"/>
          </w:tcPr>
          <w:p>
            <w:pPr>
              <w:pStyle w:val="Normal-noindent"/>
            </w:pPr>
            <w:r/>
            <w:r>
              <w:t>0.834</w:t>
            </w:r>
          </w:p>
        </w:tc>
        <w:tc>
          <w:tcPr>
            <w:tcW w:type="dxa" w:w="1027"/>
          </w:tcPr>
          <w:p>
            <w:pPr>
              <w:pStyle w:val="Normal-noindent"/>
            </w:pPr>
            <w:r/>
            <w:r>
              <w:t>0.952</w:t>
            </w:r>
          </w:p>
        </w:tc>
        <w:tc>
          <w:tcPr>
            <w:tcW w:type="dxa" w:w="1433"/>
          </w:tcPr>
          <w:p>
            <w:pPr>
              <w:pStyle w:val="Normal-noindent"/>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4"/>
        <w:gridCol w:w="2200"/>
        <w:gridCol w:w="1611"/>
        <w:gridCol w:w="2040"/>
      </w:tblGrid>
      <w:tr>
        <w:trPr>
          <w:tblHeader w:val="true"/>
          <w:cantSplit/>
        </w:trPr>
        <w:tc>
          <w:tcPr>
            <w:tcW w:type="dxa" w:w="3674"/>
          </w:tcPr>
          <w:p>
            <w:pPr>
              <w:pStyle w:val="Normal-noindent"/>
            </w:pPr>
            <w:r/>
            <w:r>
              <w:rPr>
                <w:b/>
              </w:rPr>
              <w:t>Configuration</w:t>
            </w:r>
          </w:p>
        </w:tc>
        <w:tc>
          <w:tcPr>
            <w:tcW w:type="dxa" w:w="2200"/>
          </w:tcPr>
          <w:p>
            <w:pPr>
              <w:pStyle w:val="Normal-noindent"/>
            </w:pPr>
            <w:r/>
            <w:r>
              <w:rPr>
                <w:b/>
              </w:rPr>
              <w:t>F1</w:t>
            </w:r>
          </w:p>
        </w:tc>
        <w:tc>
          <w:tcPr>
            <w:tcW w:type="dxa" w:w="1611"/>
          </w:tcPr>
          <w:p>
            <w:pPr>
              <w:pStyle w:val="Normal-noindent"/>
            </w:pPr>
            <w:r/>
            <w:r>
              <w:rPr>
                <w:b/>
              </w:rPr>
              <w:t>ROC AUC</w:t>
            </w:r>
          </w:p>
        </w:tc>
        <w:tc>
          <w:tcPr>
            <w:tcW w:type="dxa" w:w="2040"/>
          </w:tcPr>
          <w:p>
            <w:pPr>
              <w:pStyle w:val="Normal-noindent"/>
            </w:pPr>
            <w:r/>
            <w:r>
              <w:rPr>
                <w:b/>
              </w:rPr>
              <w:t>ΔF1 vs all</w:t>
            </w:r>
          </w:p>
        </w:tc>
      </w:tr>
      <w:tr>
        <w:trPr>
          <w:cantSplit/>
        </w:trPr>
        <w:tc>
          <w:tcPr>
            <w:tcW w:type="dxa" w:w="3674"/>
          </w:tcPr>
          <w:p>
            <w:pPr>
              <w:pStyle w:val="Normal-noindent"/>
            </w:pPr>
            <w:r/>
            <w:r>
              <w:t>All modalities</w:t>
            </w:r>
          </w:p>
        </w:tc>
        <w:tc>
          <w:tcPr>
            <w:tcW w:type="dxa" w:w="2200"/>
          </w:tcPr>
          <w:p>
            <w:pPr>
              <w:pStyle w:val="Normal-noindent"/>
            </w:pPr>
            <w:r/>
            <w:r>
              <w:t>0.905 ± 0.041</w:t>
            </w:r>
          </w:p>
        </w:tc>
        <w:tc>
          <w:tcPr>
            <w:tcW w:type="dxa" w:w="1611"/>
          </w:tcPr>
          <w:p>
            <w:pPr>
              <w:pStyle w:val="Normal-noindent"/>
            </w:pPr>
            <w:r/>
            <w:r>
              <w:t>0.886</w:t>
            </w:r>
          </w:p>
        </w:tc>
        <w:tc>
          <w:tcPr>
            <w:tcW w:type="dxa" w:w="2040"/>
          </w:tcPr>
          <w:p>
            <w:pPr>
              <w:pStyle w:val="Normal-noindent"/>
            </w:pPr>
            <w:r/>
            <w:r>
              <w:t>n/a</w:t>
            </w:r>
          </w:p>
        </w:tc>
      </w:tr>
      <w:tr>
        <w:trPr>
          <w:cantSplit/>
        </w:trPr>
        <w:tc>
          <w:tcPr>
            <w:tcW w:type="dxa" w:w="3674"/>
          </w:tcPr>
          <w:p>
            <w:pPr>
              <w:pStyle w:val="Normal-noindent"/>
            </w:pPr>
            <w:r/>
            <w:r>
              <w:t>without visual</w:t>
            </w:r>
          </w:p>
        </w:tc>
        <w:tc>
          <w:tcPr>
            <w:tcW w:type="dxa" w:w="2200"/>
          </w:tcPr>
          <w:p>
            <w:pPr>
              <w:pStyle w:val="Normal-noindent"/>
            </w:pPr>
            <w:r/>
            <w:r>
              <w:t>0.866 ± 0.018</w:t>
            </w:r>
          </w:p>
        </w:tc>
        <w:tc>
          <w:tcPr>
            <w:tcW w:type="dxa" w:w="1611"/>
          </w:tcPr>
          <w:p>
            <w:pPr>
              <w:pStyle w:val="Normal-noindent"/>
            </w:pPr>
            <w:r/>
            <w:r>
              <w:t>0.793</w:t>
            </w:r>
          </w:p>
        </w:tc>
        <w:tc>
          <w:tcPr>
            <w:tcW w:type="dxa" w:w="2040"/>
          </w:tcPr>
          <w:p>
            <w:pPr>
              <w:pStyle w:val="Normal-noindent"/>
            </w:pPr>
            <w:r/>
            <w:r>
              <w:t>−0.040</w:t>
            </w:r>
          </w:p>
        </w:tc>
      </w:tr>
      <w:tr>
        <w:trPr>
          <w:cantSplit/>
        </w:trPr>
        <w:tc>
          <w:tcPr>
            <w:tcW w:type="dxa" w:w="3674"/>
          </w:tcPr>
          <w:p>
            <w:pPr>
              <w:pStyle w:val="Normal-noindent"/>
            </w:pPr>
            <w:r/>
            <w:r>
              <w:t>without acoustic</w:t>
            </w:r>
          </w:p>
        </w:tc>
        <w:tc>
          <w:tcPr>
            <w:tcW w:type="dxa" w:w="2200"/>
          </w:tcPr>
          <w:p>
            <w:pPr>
              <w:pStyle w:val="Normal-noindent"/>
            </w:pPr>
            <w:r/>
            <w:r>
              <w:t>0.901 ± 0.025</w:t>
            </w:r>
          </w:p>
        </w:tc>
        <w:tc>
          <w:tcPr>
            <w:tcW w:type="dxa" w:w="1611"/>
          </w:tcPr>
          <w:p>
            <w:pPr>
              <w:pStyle w:val="Normal-noindent"/>
            </w:pPr>
            <w:r/>
            <w:r>
              <w:t>0.892</w:t>
            </w:r>
          </w:p>
        </w:tc>
        <w:tc>
          <w:tcPr>
            <w:tcW w:type="dxa" w:w="2040"/>
          </w:tcPr>
          <w:p>
            <w:pPr>
              <w:pStyle w:val="Normal-noindent"/>
            </w:pPr>
            <w:r/>
            <w:r>
              <w:t>−0.005</w:t>
            </w:r>
          </w:p>
        </w:tc>
      </w:tr>
      <w:tr>
        <w:trPr>
          <w:cantSplit/>
        </w:trPr>
        <w:tc>
          <w:tcPr>
            <w:tcW w:type="dxa" w:w="3674"/>
          </w:tcPr>
          <w:p>
            <w:pPr>
              <w:pStyle w:val="Normal-noindent"/>
            </w:pPr>
            <w:r/>
            <w:r>
              <w:t>without behaviour</w:t>
            </w:r>
          </w:p>
        </w:tc>
        <w:tc>
          <w:tcPr>
            <w:tcW w:type="dxa" w:w="2200"/>
          </w:tcPr>
          <w:p>
            <w:pPr>
              <w:pStyle w:val="Normal-noindent"/>
            </w:pPr>
            <w:r/>
            <w:r>
              <w:t>0.869 ± 0.031</w:t>
            </w:r>
          </w:p>
        </w:tc>
        <w:tc>
          <w:tcPr>
            <w:tcW w:type="dxa" w:w="1611"/>
          </w:tcPr>
          <w:p>
            <w:pPr>
              <w:pStyle w:val="Normal-noindent"/>
            </w:pPr>
            <w:r/>
            <w:r>
              <w:t>0.732</w:t>
            </w:r>
          </w:p>
        </w:tc>
        <w:tc>
          <w:tcPr>
            <w:tcW w:type="dxa" w:w="2040"/>
          </w:tcPr>
          <w:p>
            <w:pPr>
              <w:pStyle w:val="Normal-noindent"/>
            </w:pPr>
            <w:r/>
            <w:r>
              <w:t>−0.036</w:t>
            </w:r>
          </w:p>
        </w:tc>
      </w:tr>
      <w:tr>
        <w:trPr>
          <w:cantSplit/>
        </w:trPr>
        <w:tc>
          <w:tcPr>
            <w:tcW w:type="dxa" w:w="3674"/>
          </w:tcPr>
          <w:p>
            <w:pPr>
              <w:pStyle w:val="Normal-noindent"/>
            </w:pPr>
            <w:r/>
            <w:r>
              <w:t>Visual only</w:t>
            </w:r>
          </w:p>
        </w:tc>
        <w:tc>
          <w:tcPr>
            <w:tcW w:type="dxa" w:w="2200"/>
          </w:tcPr>
          <w:p>
            <w:pPr>
              <w:pStyle w:val="Normal-noindent"/>
            </w:pPr>
            <w:r/>
            <w:r>
              <w:t>0.727 ± 0.063</w:t>
            </w:r>
          </w:p>
        </w:tc>
        <w:tc>
          <w:tcPr>
            <w:tcW w:type="dxa" w:w="1611"/>
          </w:tcPr>
          <w:p>
            <w:pPr>
              <w:pStyle w:val="Normal-noindent"/>
            </w:pPr>
            <w:r/>
            <w:r>
              <w:t>0.684</w:t>
            </w:r>
          </w:p>
        </w:tc>
        <w:tc>
          <w:tcPr>
            <w:tcW w:type="dxa" w:w="2040"/>
          </w:tcPr>
          <w:p>
            <w:pPr>
              <w:pStyle w:val="Normal-noindent"/>
            </w:pPr>
            <w:r/>
            <w:r>
              <w:t>−0.179</w:t>
            </w:r>
          </w:p>
        </w:tc>
      </w:tr>
      <w:tr>
        <w:trPr>
          <w:cantSplit/>
        </w:trPr>
        <w:tc>
          <w:tcPr>
            <w:tcW w:type="dxa" w:w="3674"/>
          </w:tcPr>
          <w:p>
            <w:pPr>
              <w:pStyle w:val="Normal-noindent"/>
            </w:pPr>
            <w:r/>
            <w:r>
              <w:t>Acoustic only</w:t>
            </w:r>
          </w:p>
        </w:tc>
        <w:tc>
          <w:tcPr>
            <w:tcW w:type="dxa" w:w="2200"/>
          </w:tcPr>
          <w:p>
            <w:pPr>
              <w:pStyle w:val="Normal-noindent"/>
            </w:pPr>
            <w:r/>
            <w:r>
              <w:t>0.832 ± 0.011</w:t>
            </w:r>
          </w:p>
        </w:tc>
        <w:tc>
          <w:tcPr>
            <w:tcW w:type="dxa" w:w="1611"/>
          </w:tcPr>
          <w:p>
            <w:pPr>
              <w:pStyle w:val="Normal-noindent"/>
            </w:pPr>
            <w:r/>
            <w:r>
              <w:t>0.578</w:t>
            </w:r>
          </w:p>
        </w:tc>
        <w:tc>
          <w:tcPr>
            <w:tcW w:type="dxa" w:w="2040"/>
          </w:tcPr>
          <w:p>
            <w:pPr>
              <w:pStyle w:val="Normal-noindent"/>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82"/>
        <w:gridCol w:w="2165"/>
        <w:gridCol w:w="986"/>
        <w:gridCol w:w="986"/>
        <w:gridCol w:w="1134"/>
        <w:gridCol w:w="986"/>
        <w:gridCol w:w="986"/>
      </w:tblGrid>
      <w:tr>
        <w:trPr>
          <w:tblHeader w:val="true"/>
          <w:cantSplit/>
        </w:trPr>
        <w:tc>
          <w:tcPr>
            <w:tcW w:type="dxa" w:w="2282"/>
          </w:tcPr>
          <w:p>
            <w:pPr>
              <w:pStyle w:val="Normal-noindent"/>
            </w:pPr>
            <w:r/>
            <w:r>
              <w:rPr>
                <w:b/>
              </w:rPr>
              <w:t>Component</w:t>
            </w:r>
          </w:p>
        </w:tc>
        <w:tc>
          <w:tcPr>
            <w:tcW w:type="dxa" w:w="2165"/>
          </w:tcPr>
          <w:p>
            <w:pPr>
              <w:pStyle w:val="Normal-noindent"/>
            </w:pPr>
            <w:r/>
            <w:r>
              <w:rPr>
                <w:b/>
              </w:rPr>
              <w:t>Configuration</w:t>
            </w:r>
          </w:p>
        </w:tc>
        <w:tc>
          <w:tcPr>
            <w:tcW w:type="dxa" w:w="986"/>
          </w:tcPr>
          <w:p>
            <w:pPr>
              <w:pStyle w:val="Normal-noindent"/>
            </w:pPr>
            <w:r/>
            <w:r>
              <w:rPr>
                <w:b/>
              </w:rPr>
              <w:t>Mean</w:t>
            </w:r>
          </w:p>
        </w:tc>
        <w:tc>
          <w:tcPr>
            <w:tcW w:type="dxa" w:w="986"/>
          </w:tcPr>
          <w:p>
            <w:pPr>
              <w:pStyle w:val="Normal-noindent"/>
            </w:pPr>
            <w:r/>
            <w:r>
              <w:rPr>
                <w:b/>
              </w:rPr>
              <w:t>SD</w:t>
            </w:r>
          </w:p>
        </w:tc>
        <w:tc>
          <w:tcPr>
            <w:tcW w:type="dxa" w:w="1134"/>
          </w:tcPr>
          <w:p>
            <w:pPr>
              <w:pStyle w:val="Normal-noindent"/>
            </w:pPr>
            <w:r/>
            <w:r>
              <w:rPr>
                <w:b/>
              </w:rPr>
              <w:t>Median</w:t>
            </w:r>
          </w:p>
        </w:tc>
        <w:tc>
          <w:tcPr>
            <w:tcW w:type="dxa" w:w="986"/>
          </w:tcPr>
          <w:p>
            <w:pPr>
              <w:pStyle w:val="Normal-noindent"/>
            </w:pPr>
            <w:r/>
            <w:r>
              <w:rPr>
                <w:b/>
              </w:rPr>
              <w:t>p95</w:t>
            </w:r>
          </w:p>
        </w:tc>
        <w:tc>
          <w:tcPr>
            <w:tcW w:type="dxa" w:w="986"/>
          </w:tcPr>
          <w:p>
            <w:pPr>
              <w:pStyle w:val="Normal-noindent"/>
            </w:pPr>
            <w:r/>
            <w:r>
              <w:rPr>
                <w:b/>
              </w:rPr>
              <w:t>p99</w:t>
            </w:r>
          </w:p>
        </w:tc>
      </w:tr>
      <w:tr>
        <w:trPr>
          <w:cantSplit/>
        </w:trPr>
        <w:tc>
          <w:tcPr>
            <w:tcW w:type="dxa" w:w="2282"/>
          </w:tcPr>
          <w:p>
            <w:pPr>
              <w:pStyle w:val="Normal-noindent"/>
            </w:pPr>
            <w:r/>
            <w:r>
              <w:t>YOLOv8-s (640×480 frame)</w:t>
            </w:r>
          </w:p>
        </w:tc>
        <w:tc>
          <w:tcPr>
            <w:tcW w:type="dxa" w:w="2165"/>
          </w:tcPr>
          <w:p>
            <w:pPr>
              <w:pStyle w:val="Normal-noindent"/>
            </w:pPr>
            <w:r/>
            <w:r>
              <w:t>MPS (GPU)</w:t>
            </w:r>
          </w:p>
        </w:tc>
        <w:tc>
          <w:tcPr>
            <w:tcW w:type="dxa" w:w="986"/>
          </w:tcPr>
          <w:p>
            <w:pPr>
              <w:pStyle w:val="Normal-noindent"/>
            </w:pPr>
            <w:r/>
            <w:r>
              <w:t>37.7</w:t>
            </w:r>
          </w:p>
        </w:tc>
        <w:tc>
          <w:tcPr>
            <w:tcW w:type="dxa" w:w="986"/>
          </w:tcPr>
          <w:p>
            <w:pPr>
              <w:pStyle w:val="Normal-noindent"/>
            </w:pPr>
            <w:r/>
            <w:r>
              <w:t>17.0</w:t>
            </w:r>
          </w:p>
        </w:tc>
        <w:tc>
          <w:tcPr>
            <w:tcW w:type="dxa" w:w="1134"/>
          </w:tcPr>
          <w:p>
            <w:pPr>
              <w:pStyle w:val="Normal-noindent"/>
            </w:pPr>
            <w:r/>
            <w:r>
              <w:t>34.4</w:t>
            </w:r>
          </w:p>
        </w:tc>
        <w:tc>
          <w:tcPr>
            <w:tcW w:type="dxa" w:w="986"/>
          </w:tcPr>
          <w:p>
            <w:pPr>
              <w:pStyle w:val="Normal-noindent"/>
            </w:pPr>
            <w:r/>
            <w:r>
              <w:t>44.8</w:t>
            </w:r>
          </w:p>
        </w:tc>
        <w:tc>
          <w:tcPr>
            <w:tcW w:type="dxa" w:w="986"/>
          </w:tcPr>
          <w:p>
            <w:pPr>
              <w:pStyle w:val="Normal-noindent"/>
            </w:pPr>
            <w:r/>
            <w:r>
              <w:t>123.0</w:t>
            </w:r>
          </w:p>
        </w:tc>
      </w:tr>
      <w:tr>
        <w:trPr>
          <w:cantSplit/>
        </w:trPr>
        <w:tc>
          <w:tcPr>
            <w:tcW w:type="dxa" w:w="2282"/>
          </w:tcPr>
          <w:p>
            <w:pPr>
              <w:pStyle w:val="Normal-noindent"/>
            </w:pPr>
            <w:r/>
            <w:r>
              <w:t>YOLOv8-s (640×480 frame)</w:t>
            </w:r>
          </w:p>
        </w:tc>
        <w:tc>
          <w:tcPr>
            <w:tcW w:type="dxa" w:w="2165"/>
          </w:tcPr>
          <w:p>
            <w:pPr>
              <w:pStyle w:val="Normal-noindent"/>
            </w:pPr>
            <w:r/>
            <w:r>
              <w:t>CPU only</w:t>
            </w:r>
          </w:p>
        </w:tc>
        <w:tc>
          <w:tcPr>
            <w:tcW w:type="dxa" w:w="986"/>
          </w:tcPr>
          <w:p>
            <w:pPr>
              <w:pStyle w:val="Normal-noindent"/>
            </w:pPr>
            <w:r/>
            <w:r>
              <w:t>47.1</w:t>
            </w:r>
          </w:p>
        </w:tc>
        <w:tc>
          <w:tcPr>
            <w:tcW w:type="dxa" w:w="986"/>
          </w:tcPr>
          <w:p>
            <w:pPr>
              <w:pStyle w:val="Normal-noindent"/>
            </w:pPr>
            <w:r/>
            <w:r>
              <w:t>4.9</w:t>
            </w:r>
          </w:p>
        </w:tc>
        <w:tc>
          <w:tcPr>
            <w:tcW w:type="dxa" w:w="1134"/>
          </w:tcPr>
          <w:p>
            <w:pPr>
              <w:pStyle w:val="Normal-noindent"/>
            </w:pPr>
            <w:r/>
            <w:r>
              <w:t>47.2</w:t>
            </w:r>
          </w:p>
        </w:tc>
        <w:tc>
          <w:tcPr>
            <w:tcW w:type="dxa" w:w="986"/>
          </w:tcPr>
          <w:p>
            <w:pPr>
              <w:pStyle w:val="Normal-noindent"/>
            </w:pPr>
            <w:r/>
            <w:r>
              <w:t>54.9</w:t>
            </w:r>
          </w:p>
        </w:tc>
        <w:tc>
          <w:tcPr>
            <w:tcW w:type="dxa" w:w="986"/>
          </w:tcPr>
          <w:p>
            <w:pPr>
              <w:pStyle w:val="Normal-noindent"/>
            </w:pPr>
            <w:r/>
            <w:r>
              <w:t>59.4</w:t>
            </w:r>
          </w:p>
        </w:tc>
      </w:tr>
      <w:tr>
        <w:trPr>
          <w:cantSplit/>
        </w:trPr>
        <w:tc>
          <w:tcPr>
            <w:tcW w:type="dxa" w:w="2282"/>
          </w:tcPr>
          <w:p>
            <w:pPr>
              <w:pStyle w:val="Normal-noindent"/>
            </w:pPr>
            <w:r/>
            <w:r>
              <w:t>MediaPipe behaviour (per landmark set)</w:t>
            </w:r>
          </w:p>
        </w:tc>
        <w:tc>
          <w:tcPr>
            <w:tcW w:type="dxa" w:w="2165"/>
          </w:tcPr>
          <w:p>
            <w:pPr>
              <w:pStyle w:val="Normal-noindent"/>
            </w:pPr>
            <w:r/>
            <w:r>
              <w:t>CPU</w:t>
            </w:r>
          </w:p>
        </w:tc>
        <w:tc>
          <w:tcPr>
            <w:tcW w:type="dxa" w:w="986"/>
          </w:tcPr>
          <w:p>
            <w:pPr>
              <w:pStyle w:val="Normal-noindent"/>
            </w:pPr>
            <w:r/>
            <w:r>
              <w:t>0.027</w:t>
            </w:r>
          </w:p>
        </w:tc>
        <w:tc>
          <w:tcPr>
            <w:tcW w:type="dxa" w:w="986"/>
          </w:tcPr>
          <w:p>
            <w:pPr>
              <w:pStyle w:val="Normal-noindent"/>
            </w:pPr>
            <w:r/>
            <w:r>
              <w:t>0.008</w:t>
            </w:r>
          </w:p>
        </w:tc>
        <w:tc>
          <w:tcPr>
            <w:tcW w:type="dxa" w:w="1134"/>
          </w:tcPr>
          <w:p>
            <w:pPr>
              <w:pStyle w:val="Normal-noindent"/>
            </w:pPr>
            <w:r/>
            <w:r>
              <w:t>0.026</w:t>
            </w:r>
          </w:p>
        </w:tc>
        <w:tc>
          <w:tcPr>
            <w:tcW w:type="dxa" w:w="986"/>
          </w:tcPr>
          <w:p>
            <w:pPr>
              <w:pStyle w:val="Normal-noindent"/>
            </w:pPr>
            <w:r/>
            <w:r>
              <w:t>0.032</w:t>
            </w:r>
          </w:p>
        </w:tc>
        <w:tc>
          <w:tcPr>
            <w:tcW w:type="dxa" w:w="986"/>
          </w:tcPr>
          <w:p>
            <w:pPr>
              <w:pStyle w:val="Normal-noindent"/>
            </w:pPr>
            <w:r/>
            <w:r>
              <w:t>0.068</w:t>
            </w:r>
          </w:p>
        </w:tc>
      </w:tr>
      <w:tr>
        <w:trPr>
          <w:cantSplit/>
        </w:trPr>
        <w:tc>
          <w:tcPr>
            <w:tcW w:type="dxa" w:w="2282"/>
          </w:tcPr>
          <w:p>
            <w:pPr>
              <w:pStyle w:val="Normal-noindent"/>
            </w:pPr>
            <w:r/>
            <w:r>
              <w:t>Whisper-Base encoder (5-second buffer)</w:t>
            </w:r>
          </w:p>
        </w:tc>
        <w:tc>
          <w:tcPr>
            <w:tcW w:type="dxa" w:w="2165"/>
          </w:tcPr>
          <w:p>
            <w:pPr>
              <w:pStyle w:val="Normal-noindent"/>
            </w:pPr>
            <w:r/>
            <w:r>
              <w:t>CPU</w:t>
            </w:r>
          </w:p>
        </w:tc>
        <w:tc>
          <w:tcPr>
            <w:tcW w:type="dxa" w:w="986"/>
          </w:tcPr>
          <w:p>
            <w:pPr>
              <w:pStyle w:val="Normal-noindent"/>
            </w:pPr>
            <w:r/>
            <w:r>
              <w:t>119.3</w:t>
            </w:r>
          </w:p>
        </w:tc>
        <w:tc>
          <w:tcPr>
            <w:tcW w:type="dxa" w:w="986"/>
          </w:tcPr>
          <w:p>
            <w:pPr>
              <w:pStyle w:val="Normal-noindent"/>
            </w:pPr>
            <w:r/>
            <w:r>
              <w:t>12.2</w:t>
            </w:r>
          </w:p>
        </w:tc>
        <w:tc>
          <w:tcPr>
            <w:tcW w:type="dxa" w:w="1134"/>
          </w:tcPr>
          <w:p>
            <w:pPr>
              <w:pStyle w:val="Normal-noindent"/>
            </w:pPr>
            <w:r/>
            <w:r>
              <w:t>121.0</w:t>
            </w:r>
          </w:p>
        </w:tc>
        <w:tc>
          <w:tcPr>
            <w:tcW w:type="dxa" w:w="986"/>
          </w:tcPr>
          <w:p>
            <w:pPr>
              <w:pStyle w:val="Normal-noindent"/>
            </w:pPr>
            <w:r/>
            <w:r>
              <w:t>133.6</w:t>
            </w:r>
          </w:p>
        </w:tc>
        <w:tc>
          <w:tcPr>
            <w:tcW w:type="dxa" w:w="986"/>
          </w:tcPr>
          <w:p>
            <w:pPr>
              <w:pStyle w:val="Normal-noindent"/>
            </w:pPr>
            <w:r/>
            <w:r>
              <w:t>139.0</w:t>
            </w:r>
          </w:p>
        </w:tc>
      </w:tr>
      <w:tr>
        <w:trPr>
          <w:cantSplit/>
        </w:trPr>
        <w:tc>
          <w:tcPr>
            <w:tcW w:type="dxa" w:w="2282"/>
          </w:tcPr>
          <w:p>
            <w:pPr>
              <w:pStyle w:val="Normal-noindent"/>
            </w:pPr>
            <w:r/>
            <w:r>
              <w:t>Whisper-Base (per-frame equivalent at 5 FPS)</w:t>
            </w:r>
          </w:p>
        </w:tc>
        <w:tc>
          <w:tcPr>
            <w:tcW w:type="dxa" w:w="2165"/>
          </w:tcPr>
          <w:p>
            <w:pPr>
              <w:pStyle w:val="Normal-noindent"/>
            </w:pPr>
            <w:r/>
            <w:r>
              <w:t>CPU</w:t>
            </w:r>
          </w:p>
        </w:tc>
        <w:tc>
          <w:tcPr>
            <w:tcW w:type="dxa" w:w="986"/>
          </w:tcPr>
          <w:p>
            <w:pPr>
              <w:pStyle w:val="Normal-noindent"/>
            </w:pPr>
            <w:r/>
            <w:r>
              <w:t>23.9</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t>Fusion (random forest, single event)</w:t>
            </w:r>
          </w:p>
        </w:tc>
        <w:tc>
          <w:tcPr>
            <w:tcW w:type="dxa" w:w="2165"/>
          </w:tcPr>
          <w:p>
            <w:pPr>
              <w:pStyle w:val="Normal-noindent"/>
            </w:pPr>
            <w:r/>
            <w:r>
              <w:t>CPU</w:t>
            </w:r>
          </w:p>
        </w:tc>
        <w:tc>
          <w:tcPr>
            <w:tcW w:type="dxa" w:w="986"/>
          </w:tcPr>
          <w:p>
            <w:pPr>
              <w:pStyle w:val="Normal-noindent"/>
            </w:pPr>
            <w:r/>
            <w:r>
              <w:t>4.5</w:t>
            </w:r>
          </w:p>
        </w:tc>
        <w:tc>
          <w:tcPr>
            <w:tcW w:type="dxa" w:w="986"/>
          </w:tcPr>
          <w:p>
            <w:pPr>
              <w:pStyle w:val="Normal-noindent"/>
            </w:pPr>
            <w:r/>
            <w:r>
              <w:t>0.9</w:t>
            </w:r>
          </w:p>
        </w:tc>
        <w:tc>
          <w:tcPr>
            <w:tcW w:type="dxa" w:w="1134"/>
          </w:tcPr>
          <w:p>
            <w:pPr>
              <w:pStyle w:val="Normal-noindent"/>
            </w:pPr>
            <w:r/>
            <w:r>
              <w:t>4.3</w:t>
            </w:r>
          </w:p>
        </w:tc>
        <w:tc>
          <w:tcPr>
            <w:tcW w:type="dxa" w:w="986"/>
          </w:tcPr>
          <w:p>
            <w:pPr>
              <w:pStyle w:val="Normal-noindent"/>
            </w:pPr>
            <w:r/>
            <w:r>
              <w:t>5.6</w:t>
            </w:r>
          </w:p>
        </w:tc>
        <w:tc>
          <w:tcPr>
            <w:tcW w:type="dxa" w:w="986"/>
          </w:tcPr>
          <w:p>
            <w:pPr>
              <w:pStyle w:val="Normal-noindent"/>
            </w:pPr>
            <w:r/>
            <w:r>
              <w:t>7.1</w:t>
            </w:r>
          </w:p>
        </w:tc>
      </w:tr>
      <w:tr>
        <w:trPr>
          <w:cantSplit/>
        </w:trPr>
        <w:tc>
          <w:tcPr>
            <w:tcW w:type="dxa" w:w="2282"/>
          </w:tcPr>
          <w:p>
            <w:pPr>
              <w:pStyle w:val="Normal-noindent"/>
            </w:pPr>
            <w:r/>
            <w:r>
              <w:rPr>
                <w:b/>
              </w:rPr>
              <w:t>End-to-end frame budget</w:t>
            </w:r>
          </w:p>
        </w:tc>
        <w:tc>
          <w:tcPr>
            <w:tcW w:type="dxa" w:w="2165"/>
          </w:tcPr>
          <w:p>
            <w:pPr>
              <w:pStyle w:val="Normal-noindent"/>
            </w:pPr>
            <w:r/>
            <w:r>
              <w:t>MPS</w:t>
            </w:r>
          </w:p>
        </w:tc>
        <w:tc>
          <w:tcPr>
            <w:tcW w:type="dxa" w:w="986"/>
          </w:tcPr>
          <w:p>
            <w:pPr>
              <w:pStyle w:val="Normal-noindent"/>
            </w:pPr>
            <w:r/>
            <w:r>
              <w:rPr>
                <w:b/>
              </w:rPr>
              <w:t>42.2</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End-to-end frame budget</w:t>
            </w:r>
          </w:p>
        </w:tc>
        <w:tc>
          <w:tcPr>
            <w:tcW w:type="dxa" w:w="2165"/>
          </w:tcPr>
          <w:p>
            <w:pPr>
              <w:pStyle w:val="Normal-noindent"/>
            </w:pPr>
            <w:r/>
            <w:r>
              <w:t>CPU only</w:t>
            </w:r>
          </w:p>
        </w:tc>
        <w:tc>
          <w:tcPr>
            <w:tcW w:type="dxa" w:w="986"/>
          </w:tcPr>
          <w:p>
            <w:pPr>
              <w:pStyle w:val="Normal-noindent"/>
            </w:pPr>
            <w:r/>
            <w:r>
              <w:rPr>
                <w:b/>
              </w:rPr>
              <w:t>51.6</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MPS</w:t>
            </w:r>
          </w:p>
        </w:tc>
        <w:tc>
          <w:tcPr>
            <w:tcW w:type="dxa" w:w="986"/>
          </w:tcPr>
          <w:p>
            <w:pPr>
              <w:pStyle w:val="Normal-noindent"/>
            </w:pPr>
            <w:r/>
            <w:r>
              <w:rPr>
                <w:b/>
              </w:rPr>
              <w:t>23.7</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CPU only</w:t>
            </w:r>
          </w:p>
        </w:tc>
        <w:tc>
          <w:tcPr>
            <w:tcW w:type="dxa" w:w="986"/>
          </w:tcPr>
          <w:p>
            <w:pPr>
              <w:pStyle w:val="Normal-noindent"/>
            </w:pPr>
            <w:r/>
            <w:r>
              <w:rPr>
                <w:b/>
              </w:rPr>
              <w:t>19.4</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tabs>
          <w:tab w:pos="300" w:val="left"/>
        </w:tabs>
        <w:ind w:left="300" w:hanging="300"/>
        <w:jc w:val="left"/>
      </w:pPr>
      <w:r>
        <w:t>•</w:t>
        <w:tab/>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tabs>
          <w:tab w:pos="300" w:val="left"/>
        </w:tabs>
        <w:ind w:left="300" w:hanging="300"/>
        <w:jc w:val="left"/>
      </w:pPr>
      <w:r>
        <w:t>•</w:t>
        <w:tab/>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tabs>
          <w:tab w:pos="300" w:val="left"/>
        </w:tabs>
        <w:ind w:left="300" w:hanging="300"/>
        <w:jc w:val="left"/>
      </w:pPr>
      <w:r>
        <w:t>•</w:t>
        <w:tab/>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tabs>
          <w:tab w:pos="300" w:val="left"/>
        </w:tabs>
        <w:ind w:left="300" w:hanging="300"/>
        <w:jc w:val="left"/>
      </w:pPr>
      <w:r>
        <w:t>•</w:t>
        <w:tab/>
      </w:r>
      <w:r>
        <w:rPr>
          <w:i/>
        </w:rPr>
        <w:t>GDPR Article 25</w:t>
      </w:r>
      <w:r>
        <w:t>: data protection by design and by default is implemented at the architectural level (no decoder; volatile buffers; metadata-only persistence).</w:t>
      </w:r>
    </w:p>
    <w:p>
      <w:pPr>
        <w:pStyle w:val="Normal-noindent"/>
        <w:tabs>
          <w:tab w:pos="300" w:val="left"/>
        </w:tabs>
        <w:ind w:left="300" w:hanging="300"/>
        <w:jc w:val="left"/>
      </w:pPr>
      <w:r>
        <w:t>•</w:t>
        <w:tab/>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tabs>
          <w:tab w:pos="300" w:val="left"/>
        </w:tabs>
        <w:ind w:left="300" w:hanging="300"/>
        <w:jc w:val="left"/>
      </w:pPr>
      <w:r>
        <w:t>•</w:t>
        <w:tab/>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tabs>
          <w:tab w:pos="300" w:val="left"/>
        </w:tabs>
        <w:ind w:left="300" w:hanging="300"/>
        <w:jc w:val="left"/>
      </w:pPr>
      <w:r>
        <w:rPr>
          <w:b/>
        </w:rPr>
        <w:t>1.</w:t>
        <w:tab/>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secure-aggregation primitives, will allow the model to be refined on decentralised real-exam data without aggregating biometric content.</w:t>
      </w:r>
    </w:p>
    <w:p>
      <w:pPr>
        <w:pStyle w:val="Normal-noindent"/>
        <w:tabs>
          <w:tab w:pos="300" w:val="left"/>
        </w:tabs>
        <w:ind w:left="300" w:hanging="300"/>
        <w:jc w:val="left"/>
      </w:pPr>
      <w:r>
        <w:rPr>
          <w:b/>
        </w:rPr>
        <w:t>2.</w:t>
        <w:tab/>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tabs>
          <w:tab w:pos="300" w:val="left"/>
        </w:tabs>
        <w:ind w:left="300" w:hanging="300"/>
        <w:jc w:val="left"/>
      </w:pPr>
      <w:r>
        <w:rPr>
          <w:b/>
        </w:rPr>
        <w:t>3.</w:t>
        <w:tab/>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tabs>
          <w:tab w:pos="300" w:val="left"/>
        </w:tabs>
        <w:ind w:left="300" w:hanging="300"/>
        <w:jc w:val="left"/>
      </w:pPr>
      <w:r>
        <w:rPr>
          <w:b/>
        </w:rPr>
        <w:t>4.</w:t>
        <w:tab/>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tabs>
          <w:tab w:pos="300" w:val="left"/>
        </w:tabs>
        <w:ind w:left="300" w:hanging="300"/>
        <w:jc w:val="left"/>
      </w:pPr>
      <w:r>
        <w:rPr>
          <w:b/>
        </w:rPr>
        <w:t>5.</w:t>
        <w:tab/>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tabs>
          <w:tab w:pos="300" w:val="left"/>
        </w:tabs>
        <w:ind w:left="300" w:hanging="300"/>
        <w:jc w:val="left"/>
      </w:pPr>
      <w:r>
        <w:t>•</w:t>
        <w:tab/>
      </w:r>
      <w:r>
        <w:t>Differentially private gaze and lip-movement signals to bound information leakage to a configurable epsilon budget.</w:t>
      </w:r>
    </w:p>
    <w:p>
      <w:pPr>
        <w:pStyle w:val="Normal-noindent"/>
        <w:tabs>
          <w:tab w:pos="300" w:val="left"/>
        </w:tabs>
        <w:ind w:left="300" w:hanging="300"/>
        <w:jc w:val="left"/>
      </w:pPr>
      <w:r>
        <w:t>•</w:t>
        <w:tab/>
      </w:r>
      <w:r>
        <w:t>A tighter privacy-utility analysis of the differentially-private metadata layer, including formal (epsilon, delta) accounting across a full session and extension of the mechanism to the visual and behavioural metadata channels.</w:t>
      </w:r>
    </w:p>
    <w:p>
      <w:pPr>
        <w:pStyle w:val="Normal-noindent"/>
        <w:tabs>
          <w:tab w:pos="300" w:val="left"/>
        </w:tabs>
        <w:ind w:left="300" w:hanging="300"/>
        <w:jc w:val="left"/>
      </w:pPr>
      <w:r>
        <w:t>•</w:t>
        <w:tab/>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 Face Landmarker," MediaPipe Solutions, Google Inc., software documentation, 2023. [Online]. Available: https://developers.google.com/edge/mediapipe/solutions/vision/face_landmarker</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suppressAutoHyphens w:val="true"/>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suppressAutoHyphens w:val="true"/>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suppressAutoHyphens w:val="true"/>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true"/>
  <w:hyphenationZone w:val="357"/>
  <w:doNotHyphenateCaps w:val="true"/>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