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ali.radid-etu@etu.univh2c.ma, ghazouani.fsbm@gmail.com, h.benlahmer@gmail.com</w:t>
      </w:r>
    </w:p>
    <w:p>
      <w:pPr>
        <w:pStyle w:val="IText"/>
      </w:pPr>
      <w:r>
        <w:rPr>
          <w:i/>
        </w:rPr>
        <w:t>Corresponding author: Radid Ali (ali.radid-etu@etu.univh2c.ma)</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Received"/>
      </w:pPr>
      <w:r>
        <w:t xml:space="preserve">Received: </w:t>
      </w:r>
    </w:p>
    <w:p>
      <w:pPr>
        <w:pStyle w:val="IAbstract"/>
      </w:pP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(V) Vision-based proctoring,</w:t>
      </w:r>
    </w:p>
    <w:p>
      <w:pPr>
        <w:pStyle w:val="IText"/>
      </w:pPr>
      <w:r>
        <w:t>• (A) Audio-based proctoring,</w:t>
      </w:r>
    </w:p>
    <w:p>
      <w:pPr>
        <w:pStyle w:val="IText"/>
      </w:pPr>
      <w:r>
        <w:t>• (M) Multi-modal proctoring,</w:t>
      </w:r>
    </w:p>
    <w:p>
      <w:pPr>
        <w:pStyle w:val="IText"/>
      </w:pPr>
      <w:r>
        <w:t>• (B) Behavioural biometrics (keystroke, mouse dynamics),</w:t>
      </w:r>
    </w:p>
    <w:p>
      <w:pPr>
        <w:pStyle w:val="IText"/>
      </w:pPr>
      <w:r>
        <w:t>• (P)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rPr>
          <w:i/>
        </w:rPr>
        <w:t>\mathcal{C} = \{cell phone, book, laptop, tv, keyboard, mouse, person\}</w:t>
      </w:r>
    </w:p>
    <w:p>
      <w:pPr>
        <w:pStyle w:val="IText"/>
      </w:pPr>
      <w:r>
        <w:t xml:space="preserve">For each detection $d_i = (c_i, p_i, b_i, t_i)$ with class $c_i \in \mathcal{C}$, confidence $p_i$, bounding box $b_i$, and timestamp $t_i$, the visual subsystem outputs </w:t>
      </w:r>
      <w:r>
        <w:rPr>
          <w:i/>
        </w:rPr>
        <w:t>only</w:t>
      </w:r>
      <w:r>
        <w:t xml:space="preserve"> the tuple $(c_i, p_i, t_i)$. No frame is stored.</w:t>
      </w:r>
    </w:p>
    <w:p>
      <w:pPr>
        <w:pStyle w:val="IText"/>
      </w:pPr>
      <w:r>
        <w:t>MediaPipe FaceMesh [15], [48] yields 468 facial landmarks $L = \{l_1, ..., l_{468}\}$. We compute four geometric descriptors:</w:t>
      </w:r>
    </w:p>
    <w:p>
      <w:pPr>
        <w:pStyle w:val="IText"/>
      </w:pPr>
      <w:r>
        <w:t xml:space="preserve">• </w:t>
      </w:r>
      <w:r>
        <w:rPr>
          <w:b/>
        </w:rPr>
        <w:t>Gaze deviation angle</w:t>
      </w:r>
      <w:r>
        <w:t xml:space="preserve"> $\theta_g$: derived from the angular position of the nose tip relative to the eye-centre axis.</w:t>
      </w:r>
    </w:p>
    <w:p>
      <w:pPr>
        <w:pStyle w:val="IText"/>
      </w:pPr>
      <w:r>
        <w:t xml:space="preserve">• </w:t>
      </w:r>
      <w:r>
        <w:rPr>
          <w:b/>
        </w:rPr>
        <w:t>Head yaw</w:t>
      </w:r>
      <w:r>
        <w:t xml:space="preserve"> $\phi_y$ and </w:t>
      </w:r>
      <w:r>
        <w:rPr>
          <w:b/>
        </w:rPr>
        <w:t>pitch</w:t>
      </w:r>
      <w:r>
        <w:t xml:space="preserve"> $\phi_p$: computed from the relative position of ears, nose tip, and chin.</w:t>
      </w:r>
    </w:p>
    <w:p>
      <w:pPr>
        <w:pStyle w:val="IText"/>
      </w:pPr>
      <w:r>
        <w:t xml:space="preserve">• </w:t>
      </w:r>
      <w:r>
        <w:rPr>
          <w:b/>
        </w:rPr>
        <w:t>Lip variance</w:t>
      </w:r>
      <w:r>
        <w:t xml:space="preserve"> $\sigma_l^2$: variance of the upper-lower lip distance over a 30-frame sliding window.</w:t>
      </w:r>
    </w:p>
    <w:p>
      <w:pPr>
        <w:pStyle w:val="IText"/>
      </w:pPr>
      <w:r>
        <w:t>Sustained off-screen gaze is flagged when $\theta_g &gt; 18°$ or $|\phi_y| &gt; 25°$ for at least 2.5 s.</w:t>
      </w:r>
    </w:p>
    <w:p>
      <w:pPr>
        <w:pStyle w:val="ISubSectionTitle"/>
      </w:pPr>
      <w:r>
        <w:rPr>
          <w:b/>
        </w:rPr>
        <w:t>Acoustic Subsystem (Content-Free Whisper)</w:t>
      </w:r>
    </w:p>
    <w:p>
      <w:pPr>
        <w:pStyle w:val="IText"/>
      </w:pPr>
      <w:r>
        <w:t>We use Whisper-Base [16] (74 M parameters) with the decoder disabled. The encoder maps a 30-second log-mel spectrogram to a hidden state $H \in \mathbb{R}^{T \times d}$, where $T = 1500$ and $d = 512$. For each 5-second buffer $a$, we compute:</w:t>
      </w:r>
    </w:p>
    <w:p>
      <w:pPr>
        <w:pStyle w:val="IText"/>
      </w:pPr>
      <w:r>
        <w:t xml:space="preserve">• </w:t>
      </w:r>
      <w:r>
        <w:rPr>
          <w:b/>
        </w:rPr>
        <w:t>Voice Activity Ratio</w:t>
      </w:r>
      <w:r>
        <w:t xml:space="preserve"> $\mathrm{VAR}(a)$: fraction of short-time frames whose energy exceeds 1.4× the median.</w:t>
      </w:r>
    </w:p>
    <w:p>
      <w:pPr>
        <w:pStyle w:val="IText"/>
      </w:pPr>
      <w:r>
        <w:t xml:space="preserve">• </w:t>
      </w:r>
      <w:r>
        <w:rPr>
          <w:b/>
        </w:rPr>
        <w:t>Pitch fluctuation</w:t>
      </w:r>
      <w:r>
        <w:t xml:space="preserve"> $\mathrm{PFV}(a)$: median absolute deviation of the auto-correlation-based pitch estimate across active frames, normalised by the median.</w:t>
      </w:r>
    </w:p>
    <w:p>
      <w:pPr>
        <w:pStyle w:val="IText"/>
      </w:pPr>
      <w:r>
        <w:t xml:space="preserve">• </w:t>
      </w:r>
      <w:r>
        <w:rPr>
          <w:b/>
        </w:rPr>
        <w:t>Spectral centroid fluctuation</w:t>
      </w:r>
      <w:r>
        <w:t xml:space="preserve"> $\mathrm{CFV}(a)$: same as PFV but over the spectral centroid.</w:t>
      </w:r>
    </w:p>
    <w:p>
      <w:pPr>
        <w:pStyle w:val="IText"/>
      </w:pPr>
      <w:r>
        <w:t xml:space="preserve">• </w:t>
      </w:r>
      <w:r>
        <w:rPr>
          <w:b/>
        </w:rPr>
        <w:t>High-band ratio</w:t>
      </w:r>
      <w:r>
        <w:t xml:space="preserve"> $\mathrm{HBR}(a)$: ratio of energy in [1.5–6.5 kHz] over [60–1500 Hz].</w:t>
      </w:r>
    </w:p>
    <w:p>
      <w:pPr>
        <w:pStyle w:val="IText"/>
      </w:pPr>
      <w:r>
        <w:t>The secondary-speaker probability is then computed by an empirically calibrated logistic mapping:</w:t>
      </w:r>
    </w:p>
    <w:p>
      <w:pPr>
        <w:pStyle w:val="IText"/>
        <w:jc w:val="center"/>
      </w:pPr>
      <w:r>
        <w:rPr>
          <w:i/>
        </w:rPr>
        <w:t>P_\mathrm{sec}(a) = \sigma\big(\beta_0 + \beta_1 \mathrm{PFV} + \beta_2 \mathrm{CFV}\big) \cdot \mathrm{gate}(a)</w:t>
      </w:r>
    </w:p>
    <w:p>
      <w:pPr>
        <w:pStyle w:val="IText"/>
      </w:pPr>
      <w:r>
        <w:t>where $\mathrm{gate}(a)$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For each session we summarise the metadata stream into a 12-dimensional feature vector $\mathbf{x} \in \mathbb{R}^{12}$:</w:t>
      </w:r>
    </w:p>
    <w:p>
      <w:pPr>
        <w:pStyle w:val="IText"/>
        <w:jc w:val="center"/>
      </w:pPr>
      <w:r>
        <w:rPr>
          <w:i/>
        </w:rPr>
        <w:t>\mathbf{x} = [p^\max_\text{phone}, r^\text{dur}_\text{phone}, p^\max_\text{book}, n^\text{max}_\text{persons}, \theta^\max_g, r_\text{off}, |\phi_y|^\max, \bar\sigma_l^2, P^\max_\text{sec}, r_\text{sec}, P^\max_\text{ovl}, P^\max_\text{whisp}]</w:t>
      </w:r>
    </w:p>
    <w:p>
      <w:pPr>
        <w:pStyle w:val="IText"/>
      </w:pPr>
      <w:r>
        <w:t>The Suspicion Index $\mathrm{SI} \in [0, 1]$ is produced by a fusion model $f_\theta(\mathbf{x})$ identified empirically (Section 6.3) among five candidates:</w:t>
      </w:r>
    </w:p>
    <w:p>
      <w:pPr>
        <w:pStyle w:val="IText"/>
      </w:pPr>
      <w:r>
        <w:rPr>
          <w:b/>
        </w:rPr>
        <w:t xml:space="preserve">1. </w:t>
      </w:r>
      <w:r>
        <w:rPr>
          <w:b/>
        </w:rPr>
        <w:t>Weighted sum.</w:t>
      </w:r>
      <w:r>
        <w:t xml:space="preserve"> The original rule from the conference draft: $\mathrm{SI} = \alpha V + \beta A + \gamma B$ with $\alpha = 0.45, \beta = 0.30, \gamma = 0.25$ where $V, A, B$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[42]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$\mathrm{SI} \geq 0.35$ and </w:t>
      </w:r>
      <w:r>
        <w:rPr>
          <w:i/>
        </w:rPr>
        <w:t>flagged</w:t>
      </w:r>
      <w:r>
        <w:t xml:space="preserve"> if $\mathrm{SI} \geq 0.65$.</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n/a</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A metadata-only attacker using the same classifier on the event log emitted by the proposed system achieves an AUC of </w:t>
      </w:r>
      <w:r>
        <w:rPr>
          <w:b/>
        </w:rPr>
        <w:t>0.478 ± 0.030</w:t>
      </w:r>
      <w:r>
        <w:t>, statistically indistinguishable from the 0.5 chance level.</w:t>
      </w:r>
    </w:p>
    <w:p>
      <w:pPr>
        <w:pStyle w:val="ITex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data protection by design and by default is implemented at the architectural level (no decoder; volatile buffers; metadata-only persistence).</w:t>
      </w:r>
    </w:p>
    <w:p>
      <w:pPr>
        <w:pStyle w:val="ITex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Differentially private gaze and lip-movement signals to bound information leakage to a configurable ε budget.</w:t>
      </w:r>
    </w:p>
    <w:p>
      <w:pPr>
        <w:pStyle w:val="IText"/>
      </w:pPr>
      <w:r>
        <w:t>• A formal proof of non-invertibility for the Whisper-encoder embedding under our content-free configuration.</w:t>
      </w:r>
    </w:p>
    <w:p>
      <w:pPr>
        <w:pStyle w:val="IText"/>
      </w:pPr>
      <w:r>
        <w:t>• 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CNDP, Rabat, Morocco. [Online]. Available: https://www.cndp.ma/</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pp. 3086–3090, doi: 10.21437/Interspeech.2021-149.</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[37]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[38]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[39] G. Bradski, "The OpenCV library," </w:t>
      </w:r>
      <w:r>
        <w:rPr>
          <w:i/>
        </w:rPr>
        <w:t>Dr. Dobb's Journal of Software Tools</w:t>
      </w:r>
      <w:r>
        <w:t>, vol. 25, no. 11, pp. 120–125, 2000.</w:t>
      </w:r>
    </w:p>
    <w:p>
      <w:pPr>
        <w:pStyle w:val="IText"/>
        <w:ind w:left="340" w:hanging="340"/>
      </w:pPr>
      <w:r>
        <w:t xml:space="preserve">[40]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[41]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[42] L. Breiman, "Random forests," </w:t>
      </w:r>
      <w:r>
        <w:rPr>
          <w:i/>
        </w:rPr>
        <w:t>Machine Learning</w:t>
      </w:r>
      <w:r>
        <w:t>, vol. 45, no. 1, pp. 5–32, 2001, doi: 10.1023/A:1010933404324.</w:t>
      </w:r>
    </w:p>
    <w:p>
      <w:pPr>
        <w:pStyle w:val="IText"/>
        <w:ind w:left="340" w:hanging="340"/>
      </w:pPr>
      <w:r>
        <w:t xml:space="preserve">[43] B. Efron and R. Tibshirani, </w:t>
      </w:r>
      <w:r>
        <w:rPr>
          <w:i/>
        </w:rPr>
        <w:t>An Introduction to the Bootstrap</w:t>
      </w:r>
      <w:r>
        <w:t>. New York, NY, USA: Chapman &amp; Hall/CRC, 1993.</w:t>
      </w:r>
    </w:p>
    <w:p>
      <w:pPr>
        <w:pStyle w:val="IText"/>
        <w:ind w:left="340" w:hanging="340"/>
      </w:pPr>
      <w:r>
        <w:t xml:space="preserve">[44]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[45] T. Fawcett, "An introduction to ROC analysis," </w:t>
      </w:r>
      <w:r>
        <w:rPr>
          <w:i/>
        </w:rPr>
        <w:t>Pattern Recognition Letters</w:t>
      </w:r>
      <w:r>
        <w:t>, vol. 27, no. 8, pp. 861–874, 2006, doi: 10.1016/j.patrec.2005.10.010.</w:t>
      </w:r>
    </w:p>
    <w:p>
      <w:pPr>
        <w:pStyle w:val="IText"/>
        <w:ind w:left="340" w:hanging="340"/>
      </w:pPr>
      <w:r>
        <w:t xml:space="preserve">[46]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[47] J. Bergstra and Y. Bengio, "Random search for hyper-parameter optimization," </w:t>
      </w:r>
      <w:r>
        <w:rPr>
          <w:i/>
        </w:rPr>
        <w:t>Journal of Machine Learning Research</w:t>
      </w:r>
      <w:r>
        <w:t>, vol. 13, pp. 281–305, 2012.</w:t>
      </w:r>
    </w:p>
    <w:p>
      <w:pPr>
        <w:pStyle w:val="IText"/>
        <w:ind w:left="340" w:hanging="340"/>
      </w:pPr>
      <w:r>
        <w:t>[48] C. Lugaresi et al., "MediaPipe Face Mesh," MediaPipe Legacy Solutions, Google Inc., software documentation, 2023. [Online]. Available: https://google.github.io/mediapipe/solutions/face_mesh</w:t>
      </w:r>
    </w:p>
    <w:p>
      <w:pPr>
        <w:pStyle w:val="IText"/>
        <w:ind w:left="340" w:hanging="340"/>
      </w:pPr>
      <w:r>
        <w:t xml:space="preserve">[49]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