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Title"/>
      </w:pPr>
      <w:r>
        <w:rPr>
          <w:b/>
        </w:rPr>
        <w:t>A Privacy-Preserving Multi-Modal Proctoring Framework Using Deep Learning for Secure Online Examinations</w:t>
      </w:r>
    </w:p>
    <w:p>
      <w:pPr>
        <w:pStyle w:val="IAuthors"/>
      </w:pPr>
      <w:r>
        <w:t>Radid Ali, Ghazouani Mohamed and El habib Benlahmar</w:t>
      </w:r>
    </w:p>
    <w:p>
      <w:pPr>
        <w:pStyle w:val="IText"/>
      </w:pPr>
      <w:r>
        <w:rPr>
          <w:i/>
        </w:rPr>
        <w:t>Department of Mathematics and Computer Science, Hassan II University, Faculty of Sciences Ben M'sik, Casablanca, Morocco</w:t>
      </w:r>
    </w:p>
    <w:p>
      <w:pPr>
        <w:pStyle w:val="IText"/>
      </w:pPr>
      <w:r>
        <w:rPr>
          <w:i/>
        </w:rPr>
        <w:t>E-mail: ali.radid-etu@etu.univh2c.ma, ghazouani.fsbm@gmail.com, h.benlahmer@gmail.com</w:t>
      </w:r>
    </w:p>
    <w:p>
      <w:pPr>
        <w:pStyle w:val="IAbstract"/>
      </w:pPr>
      <w:r>
        <w:rPr>
          <w:b/>
        </w:rPr>
        <w:t xml:space="preserve">Abstract. </w:t>
      </w: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IKeywords"/>
      </w:pPr>
      <w:r>
        <w:rPr>
          <w:b/>
        </w:rPr>
        <w:t xml:space="preserve">Keywords: </w:t>
      </w:r>
      <w:r>
        <w:t>privacy-preserving proctoring; non-biometric monitoring; YOLOv8; MediaPipe FaceMesh; Whisper; suspicion index; online examinations; GDPR; CNDP; adversarial privacy verification.</w:t>
      </w:r>
    </w:p>
    <w:p>
      <w:pPr>
        <w:pStyle w:val="I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in je statistično pomembno boljši od osnovnega pravila tehtane vsote (McNemar χ² = 7,20, p = 7,3 × 10⁻³). Na napravi Apple M4 Max (Mac Studio) cevovod deluje pri 29,5 sličicah na sekundo s pospeševanjem MPS in 30,0 sličicah na sekundo v načinu samo CPU. Sistem porabi največ 1.075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ISectionTitle"/>
      </w:pPr>
      <w:r>
        <w:rPr>
          <w:b/>
        </w:rPr>
        <w:t>Introduction</w:t>
      </w:r>
    </w:p>
    <w:p>
      <w:pPr>
        <w:pStyle w:val="ISubSectionTitle"/>
      </w:pPr>
      <w:r>
        <w:rPr>
          <w:b/>
        </w:rPr>
        <w:t>Motivation</w:t>
      </w:r>
    </w:p>
    <w:p>
      <w:pPr>
        <w:pStyle w:val="ITex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ITex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ISubSectionTitle"/>
      </w:pPr>
      <w:r>
        <w:rPr>
          <w:b/>
        </w:rPr>
        <w:t>Research Gap</w:t>
      </w:r>
    </w:p>
    <w:p>
      <w:pPr>
        <w:pStyle w:val="IText"/>
      </w:pPr>
      <w:r>
        <w:t>A thorough literature review (Section 2) reveals three structural limitations of the current state of the art:</w:t>
      </w:r>
    </w:p>
    <w:p>
      <w:pPr>
        <w:pStyle w:val="ITex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ITex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ITex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ISubSectionTitle"/>
      </w:pPr>
      <w:r>
        <w:rPr>
          <w:b/>
        </w:rPr>
        <w:t>Contributions</w:t>
      </w:r>
    </w:p>
    <w:p>
      <w:pPr>
        <w:pStyle w:val="IText"/>
      </w:pPr>
      <w:r>
        <w:t>This paper addresses the gap above by presenting a privacy-by-design multi-modal proctoring framework with the following contributions:</w:t>
      </w:r>
    </w:p>
    <w:p>
      <w:pPr>
        <w:pStyle w:val="ITex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ITex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ITex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IText"/>
      </w:pPr>
      <w:r>
        <w:t xml:space="preserve">• </w:t>
      </w:r>
      <w:r>
        <w:rPr>
          <w:b/>
        </w:rPr>
        <w:t>Privacy contribution.</w:t>
      </w:r>
      <w:r>
        <w:t xml:space="preserve"> An adversarial verification experiment using 30 real LibriSpeech speakers shows that the metadata stream cannot be inverted to re-identify candidates (AUC = 0.478, chance level) while the conventional raw-media analogue exposes near-perfect re-identification (AUC = 0.994). We are not aware of a prior proctoring paper that provides quantitative adversarial-privacy evidence of this kind on real speaker data.</w:t>
      </w:r>
    </w:p>
    <w:p>
      <w:pPr>
        <w:pStyle w:val="ISubSectionTitle"/>
      </w:pPr>
      <w:r>
        <w:rPr>
          <w:b/>
        </w:rPr>
        <w:t>Paper Organisation</w:t>
      </w:r>
    </w:p>
    <w:p>
      <w:pPr>
        <w:pStyle w:val="ITex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ISectionTitle"/>
      </w:pPr>
      <w:r>
        <w:rPr>
          <w:b/>
        </w:rPr>
        <w:t>Related Work</w:t>
      </w:r>
    </w:p>
    <w:p>
      <w:pPr>
        <w:pStyle w:val="IText"/>
      </w:pPr>
      <w:r>
        <w:t>We classify the prior literature along five orthogonal axes that are relevant for compliant deployment:</w:t>
      </w:r>
    </w:p>
    <w:p>
      <w:pPr>
        <w:pStyle w:val="IText"/>
      </w:pPr>
      <w:r>
        <w:t>• (V) Vision-based proctoring,</w:t>
      </w:r>
    </w:p>
    <w:p>
      <w:pPr>
        <w:pStyle w:val="IText"/>
      </w:pPr>
      <w:r>
        <w:t>• (A) Audio-based proctoring,</w:t>
      </w:r>
    </w:p>
    <w:p>
      <w:pPr>
        <w:pStyle w:val="IText"/>
      </w:pPr>
      <w:r>
        <w:t>• (M) Multi-modal proctoring,</w:t>
      </w:r>
    </w:p>
    <w:p>
      <w:pPr>
        <w:pStyle w:val="IText"/>
      </w:pPr>
      <w:r>
        <w:t>• (B) Behavioural biometrics (keystroke, mouse dynamics),</w:t>
      </w:r>
    </w:p>
    <w:p>
      <w:pPr>
        <w:pStyle w:val="IText"/>
      </w:pPr>
      <w:r>
        <w:t>• (P) Privacy-preserving and federated approaches.</w:t>
      </w:r>
    </w:p>
    <w:p>
      <w:pPr>
        <w:pStyle w:val="ISubSectionTitle"/>
      </w:pPr>
      <w:r>
        <w:rPr>
          <w:b/>
        </w:rPr>
        <w:t>Vision-based Systems (V)</w:t>
      </w:r>
    </w:p>
    <w:p>
      <w:pPr>
        <w:pStyle w:val="IText"/>
      </w:pPr>
      <w:r>
        <w:t>Early proctoring solutions rely heavily on computer vision pipelines that authenticate the candidate's identity and monitor behavioural irregularities.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IText"/>
      </w:pPr>
      <w:r>
        <w:t>These approaches share an important limitation: they require either persistent biometric templates (face embeddings) or extensive raw-video retention, both of which conflict with GDPR Article 9 and CNDP Law 09-08.</w:t>
      </w:r>
    </w:p>
    <w:p>
      <w:pPr>
        <w:pStyle w:val="ISubSectionTitle"/>
      </w:pPr>
      <w:r>
        <w:rPr>
          <w:b/>
        </w:rPr>
        <w:t>Audio-based Systems (A)</w:t>
      </w:r>
    </w:p>
    <w:p>
      <w:pPr>
        <w:pStyle w:val="IText"/>
      </w:pPr>
      <w:r>
        <w:t>Audio-driven proctoring monitors the acoustic environment for unauthorised collaboration. Overlapped-speech detection and speaker-change segmentation are typical building blocks, with Jung et al. [20] reporting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ISubSectionTitle"/>
      </w:pPr>
      <w:r>
        <w:rPr>
          <w:b/>
        </w:rPr>
        <w:t>Multi-modal Systems (M)</w:t>
      </w:r>
    </w:p>
    <w:p>
      <w:pPr>
        <w:pStyle w:val="ITex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ISubSectionTitle"/>
      </w:pPr>
      <w:r>
        <w:rPr>
          <w:b/>
        </w:rPr>
        <w:t>Behavioural Biometrics (B)</w:t>
      </w:r>
    </w:p>
    <w:p>
      <w:pPr>
        <w:pStyle w:val="ITex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ISubSectionTitle"/>
      </w:pPr>
      <w:r>
        <w:rPr>
          <w:b/>
        </w:rPr>
        <w:t>Privacy-Preserving Approaches (P)</w:t>
      </w:r>
    </w:p>
    <w:p>
      <w:pPr>
        <w:pStyle w:val="ITex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ISubSectionTitle"/>
      </w:pPr>
      <w:r>
        <w:rPr>
          <w:b/>
        </w:rPr>
        <w:t>Synthesis</w:t>
      </w:r>
    </w:p>
    <w:p>
      <w:pPr>
        <w:pStyle w:val="ITex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ITableCaption"/>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pStyle w:val="ITable"/>
            </w:pPr>
            <w:r/>
            <w:r>
              <w:rPr>
                <w:b/>
              </w:rPr>
              <w:t>Work</w:t>
            </w:r>
          </w:p>
        </w:tc>
        <w:tc>
          <w:tcPr>
            <w:tcW w:type="dxa" w:w="866"/>
          </w:tcPr>
          <w:p>
            <w:pPr>
              <w:pStyle w:val="ITable"/>
            </w:pPr>
            <w:r/>
            <w:r>
              <w:rPr>
                <w:b/>
              </w:rPr>
              <w:t>V</w:t>
            </w:r>
          </w:p>
        </w:tc>
        <w:tc>
          <w:tcPr>
            <w:tcW w:type="dxa" w:w="866"/>
          </w:tcPr>
          <w:p>
            <w:pPr>
              <w:pStyle w:val="ITable"/>
            </w:pPr>
            <w:r/>
            <w:r>
              <w:rPr>
                <w:b/>
              </w:rPr>
              <w:t>A</w:t>
            </w:r>
          </w:p>
        </w:tc>
        <w:tc>
          <w:tcPr>
            <w:tcW w:type="dxa" w:w="866"/>
          </w:tcPr>
          <w:p>
            <w:pPr>
              <w:pStyle w:val="ITable"/>
            </w:pPr>
            <w:r/>
            <w:r>
              <w:rPr>
                <w:b/>
              </w:rPr>
              <w:t>M</w:t>
            </w:r>
          </w:p>
        </w:tc>
        <w:tc>
          <w:tcPr>
            <w:tcW w:type="dxa" w:w="866"/>
          </w:tcPr>
          <w:p>
            <w:pPr>
              <w:pStyle w:val="ITable"/>
            </w:pPr>
            <w:r/>
            <w:r>
              <w:rPr>
                <w:b/>
              </w:rPr>
              <w:t>B</w:t>
            </w:r>
          </w:p>
        </w:tc>
        <w:tc>
          <w:tcPr>
            <w:tcW w:type="dxa" w:w="866"/>
          </w:tcPr>
          <w:p>
            <w:pPr>
              <w:pStyle w:val="ITable"/>
            </w:pPr>
            <w:r/>
            <w:r>
              <w:rPr>
                <w:b/>
              </w:rPr>
              <w:t>P</w:t>
            </w:r>
          </w:p>
        </w:tc>
        <w:tc>
          <w:tcPr>
            <w:tcW w:type="dxa" w:w="866"/>
          </w:tcPr>
          <w:p>
            <w:pPr>
              <w:pStyle w:val="ITable"/>
            </w:pPr>
            <w:r/>
            <w:r>
              <w:rPr>
                <w:b/>
              </w:rPr>
              <w:t>Biometric template stored</w:t>
            </w:r>
          </w:p>
        </w:tc>
        <w:tc>
          <w:tcPr>
            <w:tcW w:type="dxa" w:w="866"/>
          </w:tcPr>
          <w:p>
            <w:pPr>
              <w:pStyle w:val="ITable"/>
            </w:pPr>
            <w:r/>
            <w:r>
              <w:rPr>
                <w:b/>
              </w:rPr>
              <w:t>Raw media retained</w:t>
            </w:r>
          </w:p>
        </w:tc>
        <w:tc>
          <w:tcPr>
            <w:tcW w:type="dxa" w:w="866"/>
          </w:tcPr>
          <w:p>
            <w:pPr>
              <w:pStyle w:val="ITable"/>
            </w:pPr>
            <w:r/>
            <w:r>
              <w:rPr>
                <w:b/>
              </w:rPr>
              <w:t>Real-time</w:t>
            </w:r>
          </w:p>
        </w:tc>
        <w:tc>
          <w:tcPr>
            <w:tcW w:type="dxa" w:w="866"/>
          </w:tcPr>
          <w:p>
            <w:pPr>
              <w:pStyle w:val="ITable"/>
            </w:pPr>
            <w:r/>
            <w:r>
              <w:rPr>
                <w:b/>
              </w:rPr>
              <w:t>Quantitative privacy proof</w:t>
            </w:r>
          </w:p>
        </w:tc>
        <w:tc>
          <w:tcPr>
            <w:tcW w:type="dxa" w:w="866"/>
          </w:tcPr>
          <w:p>
            <w:pPr>
              <w:pStyle w:val="ITable"/>
            </w:pPr>
            <w:r/>
            <w:r>
              <w:rPr>
                <w:b/>
              </w:rPr>
              <w:t>GDPR / CNDP alignment</w:t>
            </w:r>
          </w:p>
        </w:tc>
      </w:tr>
      <w:tr>
        <w:tc>
          <w:tcPr>
            <w:tcW w:type="dxa" w:w="866"/>
          </w:tcPr>
          <w:p>
            <w:pPr>
              <w:pStyle w:val="ITable"/>
            </w:pPr>
            <w:r/>
            <w:r>
              <w:t>Atoum et al. (2017) [8]</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Singh et al. (2024) [10]</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Vishal et al. (2025) [11]</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Jung et al. (2021) [20]</w:t>
            </w:r>
          </w:p>
        </w:tc>
        <w:tc>
          <w:tcPr>
            <w:tcW w:type="dxa" w:w="866"/>
          </w:tcPr>
          <w:p>
            <w:pPr>
              <w:pStyle w:val="ITable"/>
            </w:pPr>
            <w:r/>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Voiceprint context</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Masud et al. (2022) [12]</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McMahan et al. (2017), FedAvg [25]</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Bonawitz et al. (2017), SecAgg [26]</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Du et al. (2024), PrivateGaze [27]</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Obfuscated</w:t>
            </w:r>
          </w:p>
        </w:tc>
        <w:tc>
          <w:tcPr>
            <w:tcW w:type="dxa" w:w="866"/>
          </w:tcPr>
          <w:p>
            <w:pPr>
              <w:pStyle w:val="ITable"/>
            </w:pPr>
            <w:r/>
            <w:r>
              <w:t>No</w:t>
            </w:r>
          </w:p>
        </w:tc>
        <w:tc>
          <w:tcPr>
            <w:tcW w:type="dxa" w:w="866"/>
          </w:tcPr>
          <w:p>
            <w:pPr>
              <w:pStyle w:val="ITable"/>
            </w:pPr>
            <w:r/>
            <w:r>
              <w:t>Near real-time</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Bozkir et al. (2021), DP eye-tracking [28]</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No</w:t>
            </w:r>
          </w:p>
        </w:tc>
        <w:tc>
          <w:tcPr>
            <w:tcW w:type="dxa" w:w="866"/>
          </w:tcPr>
          <w:p>
            <w:pPr>
              <w:pStyle w:val="ITable"/>
            </w:pPr>
            <w:r/>
            <w:r>
              <w:t>No</w:t>
            </w:r>
          </w:p>
        </w:tc>
        <w:tc>
          <w:tcPr>
            <w:tcW w:type="dxa" w:w="866"/>
          </w:tcPr>
          <w:p>
            <w:pPr>
              <w:pStyle w:val="ITable"/>
            </w:pPr>
            <w:r/>
            <w:r>
              <w:t>No</w:t>
            </w:r>
          </w:p>
        </w:tc>
        <w:tc>
          <w:tcPr>
            <w:tcW w:type="dxa" w:w="866"/>
          </w:tcPr>
          <w:p>
            <w:pPr>
              <w:pStyle w:val="ITable"/>
            </w:pPr>
            <w:r/>
            <w:r>
              <w:t>DP bound</w:t>
            </w:r>
          </w:p>
        </w:tc>
        <w:tc>
          <w:tcPr>
            <w:tcW w:type="dxa" w:w="866"/>
          </w:tcPr>
          <w:p>
            <w:pPr>
              <w:pStyle w:val="ITable"/>
            </w:pPr>
            <w:r/>
            <w:r>
              <w:t>Partial</w:t>
            </w:r>
          </w:p>
        </w:tc>
      </w:tr>
      <w:tr>
        <w:tc>
          <w:tcPr>
            <w:tcW w:type="dxa" w:w="866"/>
          </w:tcPr>
          <w:p>
            <w:pPr>
              <w:pStyle w:val="ITable"/>
            </w:pPr>
            <w:r/>
            <w:r>
              <w:rPr>
                <w:b/>
              </w:rPr>
              <w:t>This work</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t>✓</w:t>
            </w:r>
          </w:p>
        </w:tc>
        <w:tc>
          <w:tcPr>
            <w:tcW w:type="dxa" w:w="866"/>
          </w:tcPr>
          <w:p>
            <w:pPr>
              <w:pStyle w:val="ITable"/>
            </w:pPr>
            <w:r/>
            <w:r>
              <w:rPr>
                <w:b/>
              </w:rPr>
              <w:t>No</w:t>
            </w:r>
          </w:p>
        </w:tc>
        <w:tc>
          <w:tcPr>
            <w:tcW w:type="dxa" w:w="866"/>
          </w:tcPr>
          <w:p>
            <w:pPr>
              <w:pStyle w:val="ITable"/>
            </w:pPr>
            <w:r/>
            <w:r>
              <w:rPr>
                <w:b/>
              </w:rPr>
              <w:t>No</w:t>
            </w:r>
          </w:p>
        </w:tc>
        <w:tc>
          <w:tcPr>
            <w:tcW w:type="dxa" w:w="866"/>
          </w:tcPr>
          <w:p>
            <w:pPr>
              <w:pStyle w:val="ITable"/>
            </w:pPr>
            <w:r/>
            <w:r>
              <w:rPr>
                <w:b/>
              </w:rPr>
              <w:t>Yes</w:t>
            </w:r>
          </w:p>
        </w:tc>
        <w:tc>
          <w:tcPr>
            <w:tcW w:type="dxa" w:w="866"/>
          </w:tcPr>
          <w:p>
            <w:pPr>
              <w:pStyle w:val="ITable"/>
            </w:pPr>
            <w:r/>
            <w:r>
              <w:rPr>
                <w:b/>
              </w:rPr>
              <w:t>Yes (re-ID AUC 0.48)</w:t>
            </w:r>
          </w:p>
        </w:tc>
        <w:tc>
          <w:tcPr>
            <w:tcW w:type="dxa" w:w="866"/>
          </w:tcPr>
          <w:p>
            <w:pPr>
              <w:pStyle w:val="ITable"/>
            </w:pPr>
            <w:r/>
            <w:r>
              <w:rPr>
                <w:b/>
              </w:rPr>
              <w:t>Yes</w:t>
            </w:r>
          </w:p>
        </w:tc>
      </w:tr>
    </w:tbl>
    <w:p>
      <w:pPr>
        <w:sectPr>
          <w:type w:val="continuous"/>
          <w:pgSz w:w="11906" w:h="16838"/>
          <w:pgMar w:top="1644" w:right="1077" w:bottom="1134" w:left="1304" w:header="936" w:footer="720"/>
          <w:cols w:num="1" w:space="284"/>
        </w:sectPr>
      </w:pPr>
    </w:p>
    <w:p>
      <w:pPr>
        <w:pStyle w:val="ISectionTitle"/>
      </w:pPr>
      <w:r>
        <w:rPr>
          <w:b/>
        </w:rPr>
        <w:t>System Architecture</w:t>
      </w:r>
    </w:p>
    <w:p>
      <w:pPr>
        <w:pStyle w:val="ISubSectionTitle"/>
      </w:pPr>
      <w:r>
        <w:rPr>
          <w:b/>
        </w:rPr>
        <w:t>Design Principles</w:t>
      </w:r>
    </w:p>
    <w:p>
      <w:pPr>
        <w:pStyle w:val="IText"/>
      </w:pPr>
      <w:r>
        <w:t>The architecture follows two guiding principles motivated by Article 25 of GDPR ("Data protection by design and by default") and CNDP guidance note [6]:</w:t>
      </w:r>
    </w:p>
    <w:p>
      <w:pPr>
        <w:pStyle w:val="ITex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ITex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IText"/>
      </w:pPr>
      <w:r>
        <w:t>Figure 1 shows the end-to-end pipeline.</w:t>
      </w:r>
    </w:p>
    <w:p>
      <w:pPr>
        <w:pStyle w:val="ISubSectionTitle"/>
      </w:pPr>
      <w:r>
        <w:rPr>
          <w:b/>
        </w:rPr>
        <w:t>Pipeline Overview</w:t>
      </w:r>
    </w:p>
    <w:p>
      <w:pPr>
        <w:pStyle w:val="IText"/>
      </w:pPr>
      <w:r>
        <w:t>The pipeline (Figure 1) consists of four logical stages:</w:t>
      </w:r>
    </w:p>
    <w:p>
      <w:pPr>
        <w:pStyle w:val="IText"/>
      </w:pPr>
      <w:r>
        <w:rPr>
          <w:b/>
        </w:rPr>
        <w:t xml:space="preserve">1. </w:t>
      </w:r>
      <w:r>
        <w:rPr>
          <w:b/>
        </w:rPr>
        <w:t>Sensors.</w:t>
      </w:r>
      <w:r>
        <w:t xml:space="preserve"> Camera (720p webcam) and microphone are accessed in a volatile memory buffer.</w:t>
      </w:r>
    </w:p>
    <w:p>
      <w:pPr>
        <w:pStyle w:val="IText"/>
      </w:pPr>
      <w:r>
        <w:rPr>
          <w:b/>
        </w:rPr>
        <w:t xml:space="preserve">2. </w:t>
      </w:r>
      <w:r>
        <w:rPr>
          <w:b/>
        </w:rPr>
        <w:t>Modality encoders.</w:t>
      </w:r>
      <w:r>
        <w:t xml:space="preserve"> YOLOv8-s for objects, MediaPipe FaceMesh for behavioural cues, Whisper-Base encoder in content-free mode for acoustic anomaly.</w:t>
      </w:r>
    </w:p>
    <w:p>
      <w:pPr>
        <w:pStyle w:val="IText"/>
      </w:pPr>
      <w:r>
        <w:rPr>
          <w:b/>
        </w:rPr>
        <w:t xml:space="preserve">3. </w:t>
      </w:r>
      <w:r>
        <w:rPr>
          <w:b/>
        </w:rPr>
        <w:t>Suspicion Index Fusion Model.</w:t>
      </w:r>
      <w:r>
        <w:t xml:space="preserve"> Combines the modality outputs into a calibrated risk score.</w:t>
      </w:r>
    </w:p>
    <w:p>
      <w:pPr>
        <w:pStyle w:val="ITex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5852160" cy="2959189"/>
                    </a:xfrm>
                    <a:prstGeom prst="rect"/>
                  </pic:spPr>
                </pic:pic>
              </a:graphicData>
            </a:graphic>
          </wp:inline>
        </w:drawing>
      </w:r>
    </w:p>
    <w:p>
      <w:pPr>
        <w:pStyle w:val="IFigureCaption"/>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ISubSectionTitle"/>
      </w:pPr>
      <w:r>
        <w:rPr>
          <w:b/>
        </w:rPr>
        <w:t>Threat Model</w:t>
      </w:r>
    </w:p>
    <w:p>
      <w:pPr>
        <w:pStyle w:val="IText"/>
      </w:pPr>
      <w:r>
        <w:t xml:space="preserve">We adopt the standard </w:t>
      </w:r>
      <w:r>
        <w:rPr>
          <w:i/>
        </w:rPr>
        <w:t>honest-but-curious</w:t>
      </w:r>
      <w:r>
        <w:t xml:space="preserve"> threat model from the differential-privacy literature [24], extended for proctoring. The re-identification adversary we instantiate in Section 6.7 follows the de-anonymisation methodology of Narayanan and Shmatikov [37],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IText"/>
      </w:pPr>
      <w:r>
        <w:t xml:space="preserve">• </w:t>
      </w:r>
      <w:r>
        <w:rPr>
          <w:b/>
        </w:rPr>
        <w:t>Internal observer.</w:t>
      </w:r>
      <w:r>
        <w:t xml:space="preserve"> Has read access to the event log. Goal: re-identify candidates from the metadata.</w:t>
      </w:r>
    </w:p>
    <w:p>
      <w:pPr>
        <w:pStyle w:val="IText"/>
      </w:pPr>
      <w:r>
        <w:t xml:space="preserve">• </w:t>
      </w:r>
      <w:r>
        <w:rPr>
          <w:b/>
        </w:rPr>
        <w:t>External observer.</w:t>
      </w:r>
      <w:r>
        <w:t xml:space="preserve"> Has read access to the encrypted artefacts written to disk by the system. Goal: reconstruct video, audio, or identifying templates.</w:t>
      </w:r>
    </w:p>
    <w:p>
      <w:pPr>
        <w:pStyle w:val="IText"/>
      </w:pPr>
      <w:r>
        <w:t xml:space="preserve">• </w:t>
      </w:r>
      <w:r>
        <w:rPr>
          <w:b/>
        </w:rPr>
        <w:t>Curious operator.</w:t>
      </w:r>
      <w:r>
        <w:t xml:space="preserve"> Has read access to model artefacts. Goal: extract biometric template embeddings from model state.</w:t>
      </w:r>
    </w:p>
    <w:p>
      <w:pPr>
        <w:pStyle w:val="ITex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ISectionTitle"/>
      </w:pPr>
      <w:r>
        <w:rPr>
          <w:b/>
        </w:rPr>
        <w:t>Methodology</w:t>
      </w:r>
    </w:p>
    <w:p>
      <w:pPr>
        <w:pStyle w:val="ISubSectionTitle"/>
      </w:pPr>
      <w:r>
        <w:rPr>
          <w:b/>
        </w:rPr>
        <w:t>Visual Subsystem</w:t>
      </w:r>
    </w:p>
    <w:p>
      <w:pPr>
        <w:pStyle w:val="IText"/>
      </w:pPr>
      <w:r>
        <w:t>We use YOLOv8-s [13] pre-trained on COCO [14]. The model produces, for each frame, a set of bounding boxes with class probabilities. We retain only the proctoring-relevant subset:</w:t>
      </w:r>
    </w:p>
    <w:p>
      <w:pPr>
        <w:pStyle w:val="IText"/>
        <w:jc w:val="center"/>
      </w:pPr>
      <w:r>
        <w:rPr>
          <w:i/>
        </w:rPr>
        <w:t>\mathcal{C} = \{cell phone, book, laptop, tv, keyboard, mouse, person\}</w:t>
      </w:r>
    </w:p>
    <w:p>
      <w:pPr>
        <w:pStyle w:val="IText"/>
      </w:pPr>
      <w:r>
        <w:t xml:space="preserve">For each detection $d_i = (c_i, p_i, b_i, t_i)$ with class $c_i \in \mathcal{C}$, confidence $p_i$, bounding box $b_i$, and timestamp $t_i$, the visual subsystem outputs </w:t>
      </w:r>
      <w:r>
        <w:rPr>
          <w:i/>
        </w:rPr>
        <w:t>only</w:t>
      </w:r>
      <w:r>
        <w:t xml:space="preserve"> the tuple $(c_i, p_i, t_i)$. No frame is stored.</w:t>
      </w:r>
    </w:p>
    <w:p>
      <w:pPr>
        <w:pStyle w:val="IText"/>
      </w:pPr>
      <w:r>
        <w:t>MediaPipe FaceMesh [15], [49] yields 468 facial landmarks $L = \{l_1, ..., l_{468}\}$. We compute four geometric descriptors:</w:t>
      </w:r>
    </w:p>
    <w:p>
      <w:pPr>
        <w:pStyle w:val="IText"/>
      </w:pPr>
      <w:r>
        <w:t xml:space="preserve">• </w:t>
      </w:r>
      <w:r>
        <w:rPr>
          <w:b/>
        </w:rPr>
        <w:t>Gaze deviation angle</w:t>
      </w:r>
      <w:r>
        <w:t xml:space="preserve"> $\theta_g$: derived from the angular position of the nose tip relative to the eye-centre axis.</w:t>
      </w:r>
    </w:p>
    <w:p>
      <w:pPr>
        <w:pStyle w:val="IText"/>
      </w:pPr>
      <w:r>
        <w:t xml:space="preserve">• </w:t>
      </w:r>
      <w:r>
        <w:rPr>
          <w:b/>
        </w:rPr>
        <w:t>Head yaw</w:t>
      </w:r>
      <w:r>
        <w:t xml:space="preserve"> $\phi_y$ and </w:t>
      </w:r>
      <w:r>
        <w:rPr>
          <w:b/>
        </w:rPr>
        <w:t>pitch</w:t>
      </w:r>
      <w:r>
        <w:t xml:space="preserve"> $\phi_p$: computed from the relative position of ears, nose tip, and chin.</w:t>
      </w:r>
    </w:p>
    <w:p>
      <w:pPr>
        <w:pStyle w:val="IText"/>
      </w:pPr>
      <w:r>
        <w:t xml:space="preserve">• </w:t>
      </w:r>
      <w:r>
        <w:rPr>
          <w:b/>
        </w:rPr>
        <w:t>Lip variance</w:t>
      </w:r>
      <w:r>
        <w:t xml:space="preserve"> $\sigma_l^2$: variance of the upper-lower lip distance over a 30-frame sliding window.</w:t>
      </w:r>
    </w:p>
    <w:p>
      <w:pPr>
        <w:pStyle w:val="IText"/>
      </w:pPr>
      <w:r>
        <w:t>Sustained off-screen gaze is flagged when $\theta_g &gt; 18°$ or $|\phi_y| &gt; 25°$ for at least 2.5 s.</w:t>
      </w:r>
    </w:p>
    <w:p>
      <w:pPr>
        <w:pStyle w:val="ISubSectionTitle"/>
      </w:pPr>
      <w:r>
        <w:rPr>
          <w:b/>
        </w:rPr>
        <w:t>Acoustic Subsystem (Content-Free Whisper)</w:t>
      </w:r>
    </w:p>
    <w:p>
      <w:pPr>
        <w:pStyle w:val="IText"/>
      </w:pPr>
      <w:r>
        <w:t>We use Whisper-Base [16] (74 M parameters) with the decoder disabled. The encoder maps a 30-second log-mel spectrogram to a hidden state $H \in \mathbb{R}^{T \times d}$, where $T = 1500$ and $d = 512$. For each 5-second buffer $a$, we compute:</w:t>
      </w:r>
    </w:p>
    <w:p>
      <w:pPr>
        <w:pStyle w:val="IText"/>
      </w:pPr>
      <w:r>
        <w:t xml:space="preserve">• </w:t>
      </w:r>
      <w:r>
        <w:rPr>
          <w:b/>
        </w:rPr>
        <w:t>Voice Activity Ratio</w:t>
      </w:r>
      <w:r>
        <w:t xml:space="preserve"> $\mathrm{VAR}(a)$: fraction of short-time frames whose energy exceeds 1.4× the median.</w:t>
      </w:r>
    </w:p>
    <w:p>
      <w:pPr>
        <w:pStyle w:val="IText"/>
      </w:pPr>
      <w:r>
        <w:t xml:space="preserve">• </w:t>
      </w:r>
      <w:r>
        <w:rPr>
          <w:b/>
        </w:rPr>
        <w:t>Pitch fluctuation</w:t>
      </w:r>
      <w:r>
        <w:t xml:space="preserve"> $\mathrm{PFV}(a)$: median absolute deviation of the auto-correlation-based pitch estimate across active frames, normalised by the median.</w:t>
      </w:r>
    </w:p>
    <w:p>
      <w:pPr>
        <w:pStyle w:val="IText"/>
      </w:pPr>
      <w:r>
        <w:t xml:space="preserve">• </w:t>
      </w:r>
      <w:r>
        <w:rPr>
          <w:b/>
        </w:rPr>
        <w:t>Spectral centroid fluctuation</w:t>
      </w:r>
      <w:r>
        <w:t xml:space="preserve"> $\mathrm{CFV}(a)$: same as PFV but over the spectral centroid.</w:t>
      </w:r>
    </w:p>
    <w:p>
      <w:pPr>
        <w:pStyle w:val="IText"/>
      </w:pPr>
      <w:r>
        <w:t xml:space="preserve">• </w:t>
      </w:r>
      <w:r>
        <w:rPr>
          <w:b/>
        </w:rPr>
        <w:t>High-band ratio</w:t>
      </w:r>
      <w:r>
        <w:t xml:space="preserve"> $\mathrm{HBR}(a)$: ratio of energy in [1.5–6.5 kHz] over [60–1500 Hz].</w:t>
      </w:r>
    </w:p>
    <w:p>
      <w:pPr>
        <w:pStyle w:val="IText"/>
      </w:pPr>
      <w:r>
        <w:t>The secondary-speaker probability is then computed by an empirically calibrated logistic mapping:</w:t>
      </w:r>
    </w:p>
    <w:p>
      <w:pPr>
        <w:pStyle w:val="IText"/>
        <w:jc w:val="center"/>
      </w:pPr>
      <w:r>
        <w:rPr>
          <w:i/>
        </w:rPr>
        <w:t>P_\mathrm{sec}(a) = \sigma\big(\beta_0 + \beta_1 \mathrm{PFV} + \beta_2 \mathrm{CFV}\big) \cdot \mathrm{gate}(a)</w:t>
      </w:r>
    </w:p>
    <w:p>
      <w:pPr>
        <w:pStyle w:val="IText"/>
      </w:pPr>
      <w:r>
        <w:t>where $\mathrm{gate}(a)$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ISubSectionTitle"/>
      </w:pPr>
      <w:r>
        <w:rPr>
          <w:b/>
        </w:rPr>
        <w:t>Suspicion Index Fusion Model</w:t>
      </w:r>
    </w:p>
    <w:p>
      <w:pPr>
        <w:pStyle w:val="IText"/>
      </w:pPr>
      <w:r>
        <w:t>For each session we summarise the metadata stream into a 12-dimensional feature vector $\mathbf{x} \in \mathbb{R}^{12}$:</w:t>
      </w:r>
    </w:p>
    <w:p>
      <w:pPr>
        <w:pStyle w:val="IText"/>
        <w:jc w:val="center"/>
      </w:pPr>
      <w:r>
        <w:rPr>
          <w:i/>
        </w:rPr>
        <w:t>\mathbf{x} = [p^\max_\text{phone}, r^\text{dur}_\text{phone}, p^\max_\text{book}, n^\text{max}_\text{persons}, \theta^\max_g, r_\text{off}, |\phi_y|^\max, \bar\sigma_l^2, P^\max_\text{sec}, r_\text{sec}, P^\max_\text{ovl}, P^\max_\text{whisp}]</w:t>
      </w:r>
    </w:p>
    <w:p>
      <w:pPr>
        <w:pStyle w:val="IText"/>
      </w:pPr>
      <w:r>
        <w:t>The Suspicion Index $\mathrm{SI} \in [0, 1]$ is produced by a fusion model $f_\theta(\mathbf{x})$ identified empirically (Section 6.3) among five candidates:</w:t>
      </w:r>
    </w:p>
    <w:p>
      <w:pPr>
        <w:pStyle w:val="IText"/>
      </w:pPr>
      <w:r>
        <w:rPr>
          <w:b/>
        </w:rPr>
        <w:t xml:space="preserve">1. </w:t>
      </w:r>
      <w:r>
        <w:rPr>
          <w:b/>
        </w:rPr>
        <w:t>Weighted sum.</w:t>
      </w:r>
      <w:r>
        <w:t xml:space="preserve"> The original rule from the conference draft: $\mathrm{SI} = \alpha V + \beta A + \gamma B$ with $\alpha = 0.45, \beta = 0.30, \gamma = 0.25$ where $V, A, B$ are normalised visual, acoustic, and behavioural scores.</w:t>
      </w:r>
    </w:p>
    <w:p>
      <w:pPr>
        <w:pStyle w:val="IText"/>
      </w:pPr>
      <w:r>
        <w:rPr>
          <w:b/>
        </w:rPr>
        <w:t xml:space="preserve">2. </w:t>
      </w:r>
      <w:r>
        <w:rPr>
          <w:b/>
        </w:rPr>
        <w:t>L2-regularised logistic regression.</w:t>
      </w:r>
    </w:p>
    <w:p>
      <w:pPr>
        <w:pStyle w:val="IText"/>
      </w:pPr>
      <w:r>
        <w:rPr>
          <w:b/>
        </w:rPr>
        <w:t xml:space="preserve">3. </w:t>
      </w:r>
      <w:r>
        <w:rPr>
          <w:b/>
        </w:rPr>
        <w:t>Random forest</w:t>
      </w:r>
      <w:r>
        <w:t xml:space="preserve"> with 200 trees, max depth 8.</w:t>
      </w:r>
    </w:p>
    <w:p>
      <w:pPr>
        <w:pStyle w:val="IText"/>
      </w:pPr>
      <w:r>
        <w:rPr>
          <w:b/>
        </w:rPr>
        <w:t xml:space="preserve">4. </w:t>
      </w:r>
      <w:r>
        <w:rPr>
          <w:b/>
        </w:rPr>
        <w:t>Multi-layer perceptron</w:t>
      </w:r>
      <w:r>
        <w:t xml:space="preserve"> (32, 16) with StandardScaler preprocessing.</w:t>
      </w:r>
    </w:p>
    <w:p>
      <w:pPr>
        <w:pStyle w:val="IText"/>
      </w:pPr>
      <w:r>
        <w:rPr>
          <w:b/>
        </w:rPr>
        <w:t xml:space="preserve">5. </w:t>
      </w:r>
      <w:r>
        <w:rPr>
          <w:b/>
        </w:rPr>
        <w:t>Gaussian naive Bayes</w:t>
      </w:r>
      <w:r>
        <w:t>.</w:t>
      </w:r>
    </w:p>
    <w:p>
      <w:pPr>
        <w:pStyle w:val="IText"/>
      </w:pPr>
      <w:r>
        <w:t xml:space="preserve">A session is </w:t>
      </w:r>
      <w:r>
        <w:rPr>
          <w:i/>
        </w:rPr>
        <w:t>warned</w:t>
      </w:r>
      <w:r>
        <w:t xml:space="preserve"> if $\mathrm{SI} \geq 0.35$ and </w:t>
      </w:r>
      <w:r>
        <w:rPr>
          <w:i/>
        </w:rPr>
        <w:t>flagged</w:t>
      </w:r>
      <w:r>
        <w:t xml:space="preserve"> if $\mathrm{SI} \geq 0.65$.</w:t>
      </w:r>
    </w:p>
    <w:p>
      <w:pPr>
        <w:pStyle w:val="ISubSectionTitle"/>
      </w:pPr>
      <w:r>
        <w:rPr>
          <w:b/>
        </w:rPr>
        <w:t>Data-Flow and Privacy Guarantees</w:t>
      </w:r>
    </w:p>
    <w:p>
      <w:pPr>
        <w:pStyle w:val="IText"/>
      </w:pPr>
      <w:r>
        <w:t>The event log written to disk has the schema</w:t>
      </w:r>
    </w:p>
    <w:p>
      <w:pPr>
        <w:pStyle w:val="IText"/>
      </w:pPr>
      <w:r>
        <w:t>``` {event_type: string, confidence_or_probability: float in [0,1], timestamp: ISO-8601, module: 'visual'|'acoustic'|'behaviour'|'fusion'}</w:t>
      </w:r>
    </w:p>
    <w:p>
      <w:pPr>
        <w:pStyle w:val="IText"/>
      </w:pPr>
      <w:r>
        <w:t>```</w:t>
      </w:r>
    </w:p>
    <w:p>
      <w:pPr>
        <w:pStyle w:val="ITex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4"/>
                    <a:stretch>
                      <a:fillRect/>
                    </a:stretch>
                  </pic:blipFill>
                  <pic:spPr>
                    <a:xfrm>
                      <a:off x="0" y="0"/>
                      <a:ext cx="5852160" cy="2394065"/>
                    </a:xfrm>
                    <a:prstGeom prst="rect"/>
                  </pic:spPr>
                </pic:pic>
              </a:graphicData>
            </a:graphic>
          </wp:inline>
        </w:drawing>
      </w:r>
    </w:p>
    <w:p>
      <w:pPr>
        <w:pStyle w:val="IFigureCaption"/>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ISectionTitle"/>
      </w:pPr>
      <w:r>
        <w:rPr>
          <w:b/>
        </w:rPr>
        <w:t>Experimental Setup</w:t>
      </w:r>
    </w:p>
    <w:p>
      <w:pPr>
        <w:pStyle w:val="ISubSectionTitle"/>
      </w:pPr>
      <w:r>
        <w:rPr>
          <w:b/>
        </w:rPr>
        <w:t>Hardware</w:t>
      </w:r>
    </w:p>
    <w:p>
      <w:pPr>
        <w:pStyle w:val="IText"/>
      </w:pPr>
      <w:r>
        <w:t>All experiments were conducted on a single Apple Mac Studio (model Mac16,9) equipped with an Apple M4 Max system-on-chip (14-core CPU, 32-core integrated GPU), 36 GB of unified memory, running macOS 26.2. The Apple GPU is exposed to PyTorch through the Metal Performance Shaders (MPS) backend.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ISubSectionTitle"/>
      </w:pPr>
      <w:r>
        <w:rPr>
          <w:b/>
        </w:rPr>
        <w:t>Datasets</w:t>
      </w:r>
    </w:p>
    <w:p>
      <w:pPr>
        <w:pStyle w:val="IText"/>
      </w:pPr>
      <w:r>
        <w:t>We use three datasets, each chosen to maximize realism while respecting privacy constraints:</w:t>
      </w:r>
    </w:p>
    <w:p>
      <w:pPr>
        <w:pStyle w:val="ITex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ITex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ITex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ITex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IText"/>
      </w:pPr>
      <w:r>
        <w:t>All datasets, generators, and trained-model state are reproducible from a fixed random seed (42).</w:t>
      </w:r>
    </w:p>
    <w:p>
      <w:pPr>
        <w:pStyle w:val="ISubSectionTitle"/>
      </w:pPr>
      <w:r>
        <w:rPr>
          <w:b/>
        </w:rPr>
        <w:t>Evaluation Metrics</w:t>
      </w:r>
    </w:p>
    <w:p>
      <w:pPr>
        <w:pStyle w:val="IText"/>
      </w:pPr>
      <w:r>
        <w:t>For each binary task we report precision, recall, F1, ROC AUC, PR AUC, and a 95% bootstrap confidence interval on F1 (1,000 resamples). Multi-class detection (visual subsystem) uses per-class precision, recall, F1, and AP@0.5 with greedy IoU matching at threshold 0.5. Statistical significance of fusion-model differences is tested with McNemar's χ² (continuity-corrected).</w:t>
      </w:r>
    </w:p>
    <w:p>
      <w:pPr>
        <w:pStyle w:val="IText"/>
      </w:pPr>
      <w:r>
        <w:t>Latency is measured per-call with `time.perf_counter()` after a 3-call warmup; we report mean, standard deviation, median, p95, and p99 in milliseconds. Memory footprint is measured via `resource.getrusage`.</w:t>
      </w:r>
    </w:p>
    <w:p>
      <w:pPr>
        <w:pStyle w:val="ISectionTitle"/>
      </w:pPr>
      <w:r>
        <w:rPr>
          <w:b/>
        </w:rPr>
        <w:t>Results</w:t>
      </w:r>
    </w:p>
    <w:p>
      <w:pPr>
        <w:pStyle w:val="ISubSectionTitle"/>
      </w:pPr>
      <w:r>
        <w:rPr>
          <w:b/>
        </w:rPr>
        <w:t>Visual Subsystem (D1, real COCO data)</w:t>
      </w:r>
    </w:p>
    <w:p>
      <w:pPr>
        <w:pStyle w:val="ITex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ITableCaption"/>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Class</w:t>
            </w:r>
          </w:p>
        </w:tc>
        <w:tc>
          <w:tcPr>
            <w:tcW w:type="dxa" w:w="1361"/>
          </w:tcPr>
          <w:p>
            <w:pPr>
              <w:pStyle w:val="ITable"/>
            </w:pPr>
            <w:r/>
            <w:r>
              <w:rPr>
                <w:b/>
              </w:rPr>
              <w:t>Ground truth</w:t>
            </w:r>
          </w:p>
        </w:tc>
        <w:tc>
          <w:tcPr>
            <w:tcW w:type="dxa" w:w="1361"/>
          </w:tcPr>
          <w:p>
            <w:pPr>
              <w:pStyle w:val="ITable"/>
            </w:pPr>
            <w:r/>
            <w:r>
              <w:rPr>
                <w:b/>
              </w:rPr>
              <w:t>Predictions</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F1</w:t>
            </w:r>
          </w:p>
        </w:tc>
        <w:tc>
          <w:tcPr>
            <w:tcW w:type="dxa" w:w="1361"/>
          </w:tcPr>
          <w:p>
            <w:pPr>
              <w:pStyle w:val="ITable"/>
            </w:pPr>
            <w:r/>
            <w:r>
              <w:rPr>
                <w:b/>
              </w:rPr>
              <w:t>AP@0.5</w:t>
            </w:r>
          </w:p>
        </w:tc>
      </w:tr>
      <w:tr>
        <w:tc>
          <w:tcPr>
            <w:tcW w:type="dxa" w:w="1361"/>
          </w:tcPr>
          <w:p>
            <w:pPr>
              <w:pStyle w:val="ITable"/>
            </w:pPr>
            <w:r/>
            <w:r>
              <w:t>person</w:t>
            </w:r>
          </w:p>
        </w:tc>
        <w:tc>
          <w:tcPr>
            <w:tcW w:type="dxa" w:w="1361"/>
          </w:tcPr>
          <w:p>
            <w:pPr>
              <w:pStyle w:val="ITable"/>
            </w:pPr>
            <w:r/>
            <w:r>
              <w:t>449</w:t>
            </w:r>
          </w:p>
        </w:tc>
        <w:tc>
          <w:tcPr>
            <w:tcW w:type="dxa" w:w="1361"/>
          </w:tcPr>
          <w:p>
            <w:pPr>
              <w:pStyle w:val="ITable"/>
            </w:pPr>
            <w:r/>
            <w:r>
              <w:t>356</w:t>
            </w:r>
          </w:p>
        </w:tc>
        <w:tc>
          <w:tcPr>
            <w:tcW w:type="dxa" w:w="1361"/>
          </w:tcPr>
          <w:p>
            <w:pPr>
              <w:pStyle w:val="ITable"/>
            </w:pPr>
            <w:r/>
            <w:r>
              <w:t>0.843</w:t>
            </w:r>
          </w:p>
        </w:tc>
        <w:tc>
          <w:tcPr>
            <w:tcW w:type="dxa" w:w="1361"/>
          </w:tcPr>
          <w:p>
            <w:pPr>
              <w:pStyle w:val="ITable"/>
            </w:pPr>
            <w:r/>
            <w:r>
              <w:t>0.668</w:t>
            </w:r>
          </w:p>
        </w:tc>
        <w:tc>
          <w:tcPr>
            <w:tcW w:type="dxa" w:w="1361"/>
          </w:tcPr>
          <w:p>
            <w:pPr>
              <w:pStyle w:val="ITable"/>
            </w:pPr>
            <w:r/>
            <w:r>
              <w:t>0.745</w:t>
            </w:r>
          </w:p>
        </w:tc>
        <w:tc>
          <w:tcPr>
            <w:tcW w:type="dxa" w:w="1361"/>
          </w:tcPr>
          <w:p>
            <w:pPr>
              <w:pStyle w:val="ITable"/>
            </w:pPr>
            <w:r/>
            <w:r>
              <w:t>0.624</w:t>
            </w:r>
          </w:p>
        </w:tc>
      </w:tr>
      <w:tr>
        <w:tc>
          <w:tcPr>
            <w:tcW w:type="dxa" w:w="1361"/>
          </w:tcPr>
          <w:p>
            <w:pPr>
              <w:pStyle w:val="ITable"/>
            </w:pPr>
            <w:r/>
            <w:r>
              <w:t>tv</w:t>
            </w:r>
          </w:p>
        </w:tc>
        <w:tc>
          <w:tcPr>
            <w:tcW w:type="dxa" w:w="1361"/>
          </w:tcPr>
          <w:p>
            <w:pPr>
              <w:pStyle w:val="ITable"/>
            </w:pPr>
            <w:r/>
            <w:r>
              <w:t>128</w:t>
            </w:r>
          </w:p>
        </w:tc>
        <w:tc>
          <w:tcPr>
            <w:tcW w:type="dxa" w:w="1361"/>
          </w:tcPr>
          <w:p>
            <w:pPr>
              <w:pStyle w:val="ITable"/>
            </w:pPr>
            <w:r/>
            <w:r>
              <w:t>104</w:t>
            </w:r>
          </w:p>
        </w:tc>
        <w:tc>
          <w:tcPr>
            <w:tcW w:type="dxa" w:w="1361"/>
          </w:tcPr>
          <w:p>
            <w:pPr>
              <w:pStyle w:val="ITable"/>
            </w:pPr>
            <w:r/>
            <w:r>
              <w:t>0.875</w:t>
            </w:r>
          </w:p>
        </w:tc>
        <w:tc>
          <w:tcPr>
            <w:tcW w:type="dxa" w:w="1361"/>
          </w:tcPr>
          <w:p>
            <w:pPr>
              <w:pStyle w:val="ITable"/>
            </w:pPr>
            <w:r/>
            <w:r>
              <w:t>0.711</w:t>
            </w:r>
          </w:p>
        </w:tc>
        <w:tc>
          <w:tcPr>
            <w:tcW w:type="dxa" w:w="1361"/>
          </w:tcPr>
          <w:p>
            <w:pPr>
              <w:pStyle w:val="ITable"/>
            </w:pPr>
            <w:r/>
            <w:r>
              <w:t>0.784</w:t>
            </w:r>
          </w:p>
        </w:tc>
        <w:tc>
          <w:tcPr>
            <w:tcW w:type="dxa" w:w="1361"/>
          </w:tcPr>
          <w:p>
            <w:pPr>
              <w:pStyle w:val="ITable"/>
            </w:pPr>
            <w:r/>
            <w:r>
              <w:t>0.701</w:t>
            </w:r>
          </w:p>
        </w:tc>
      </w:tr>
      <w:tr>
        <w:tc>
          <w:tcPr>
            <w:tcW w:type="dxa" w:w="1361"/>
          </w:tcPr>
          <w:p>
            <w:pPr>
              <w:pStyle w:val="ITable"/>
            </w:pPr>
            <w:r/>
            <w:r>
              <w:t>laptop</w:t>
            </w:r>
          </w:p>
        </w:tc>
        <w:tc>
          <w:tcPr>
            <w:tcW w:type="dxa" w:w="1361"/>
          </w:tcPr>
          <w:p>
            <w:pPr>
              <w:pStyle w:val="ITable"/>
            </w:pPr>
            <w:r/>
            <w:r>
              <w:t>91</w:t>
            </w:r>
          </w:p>
        </w:tc>
        <w:tc>
          <w:tcPr>
            <w:tcW w:type="dxa" w:w="1361"/>
          </w:tcPr>
          <w:p>
            <w:pPr>
              <w:pStyle w:val="ITable"/>
            </w:pPr>
            <w:r/>
            <w:r>
              <w:t>92</w:t>
            </w:r>
          </w:p>
        </w:tc>
        <w:tc>
          <w:tcPr>
            <w:tcW w:type="dxa" w:w="1361"/>
          </w:tcPr>
          <w:p>
            <w:pPr>
              <w:pStyle w:val="ITable"/>
            </w:pPr>
            <w:r/>
            <w:r>
              <w:t>0.772</w:t>
            </w:r>
          </w:p>
        </w:tc>
        <w:tc>
          <w:tcPr>
            <w:tcW w:type="dxa" w:w="1361"/>
          </w:tcPr>
          <w:p>
            <w:pPr>
              <w:pStyle w:val="ITable"/>
            </w:pPr>
            <w:r/>
            <w:r>
              <w:t>0.780</w:t>
            </w:r>
          </w:p>
        </w:tc>
        <w:tc>
          <w:tcPr>
            <w:tcW w:type="dxa" w:w="1361"/>
          </w:tcPr>
          <w:p>
            <w:pPr>
              <w:pStyle w:val="ITable"/>
            </w:pPr>
            <w:r/>
            <w:r>
              <w:t>0.776</w:t>
            </w:r>
          </w:p>
        </w:tc>
        <w:tc>
          <w:tcPr>
            <w:tcW w:type="dxa" w:w="1361"/>
          </w:tcPr>
          <w:p>
            <w:pPr>
              <w:pStyle w:val="ITable"/>
            </w:pPr>
            <w:r/>
            <w:r>
              <w:t>0.759</w:t>
            </w:r>
          </w:p>
        </w:tc>
      </w:tr>
      <w:tr>
        <w:tc>
          <w:tcPr>
            <w:tcW w:type="dxa" w:w="1361"/>
          </w:tcPr>
          <w:p>
            <w:pPr>
              <w:pStyle w:val="ITable"/>
            </w:pPr>
            <w:r/>
            <w:r>
              <w:t>mouse</w:t>
            </w:r>
          </w:p>
        </w:tc>
        <w:tc>
          <w:tcPr>
            <w:tcW w:type="dxa" w:w="1361"/>
          </w:tcPr>
          <w:p>
            <w:pPr>
              <w:pStyle w:val="ITable"/>
            </w:pPr>
            <w:r/>
            <w:r>
              <w:t>62</w:t>
            </w:r>
          </w:p>
        </w:tc>
        <w:tc>
          <w:tcPr>
            <w:tcW w:type="dxa" w:w="1361"/>
          </w:tcPr>
          <w:p>
            <w:pPr>
              <w:pStyle w:val="ITable"/>
            </w:pPr>
            <w:r/>
            <w:r>
              <w:t>43</w:t>
            </w:r>
          </w:p>
        </w:tc>
        <w:tc>
          <w:tcPr>
            <w:tcW w:type="dxa" w:w="1361"/>
          </w:tcPr>
          <w:p>
            <w:pPr>
              <w:pStyle w:val="ITable"/>
            </w:pPr>
            <w:r/>
            <w:r>
              <w:t>0.884</w:t>
            </w:r>
          </w:p>
        </w:tc>
        <w:tc>
          <w:tcPr>
            <w:tcW w:type="dxa" w:w="1361"/>
          </w:tcPr>
          <w:p>
            <w:pPr>
              <w:pStyle w:val="ITable"/>
            </w:pPr>
            <w:r/>
            <w:r>
              <w:t>0.613</w:t>
            </w:r>
          </w:p>
        </w:tc>
        <w:tc>
          <w:tcPr>
            <w:tcW w:type="dxa" w:w="1361"/>
          </w:tcPr>
          <w:p>
            <w:pPr>
              <w:pStyle w:val="ITable"/>
            </w:pPr>
            <w:r/>
            <w:r>
              <w:t>0.724</w:t>
            </w:r>
          </w:p>
        </w:tc>
        <w:tc>
          <w:tcPr>
            <w:tcW w:type="dxa" w:w="1361"/>
          </w:tcPr>
          <w:p>
            <w:pPr>
              <w:pStyle w:val="ITable"/>
            </w:pPr>
            <w:r/>
            <w:r>
              <w:t>0.611</w:t>
            </w:r>
          </w:p>
        </w:tc>
      </w:tr>
      <w:tr>
        <w:tc>
          <w:tcPr>
            <w:tcW w:type="dxa" w:w="1361"/>
          </w:tcPr>
          <w:p>
            <w:pPr>
              <w:pStyle w:val="ITable"/>
            </w:pPr>
            <w:r/>
            <w:r>
              <w:t>keyboard</w:t>
            </w:r>
          </w:p>
        </w:tc>
        <w:tc>
          <w:tcPr>
            <w:tcW w:type="dxa" w:w="1361"/>
          </w:tcPr>
          <w:p>
            <w:pPr>
              <w:pStyle w:val="ITable"/>
            </w:pPr>
            <w:r/>
            <w:r>
              <w:t>95</w:t>
            </w:r>
          </w:p>
        </w:tc>
        <w:tc>
          <w:tcPr>
            <w:tcW w:type="dxa" w:w="1361"/>
          </w:tcPr>
          <w:p>
            <w:pPr>
              <w:pStyle w:val="ITable"/>
            </w:pPr>
            <w:r/>
            <w:r>
              <w:t>77</w:t>
            </w:r>
          </w:p>
        </w:tc>
        <w:tc>
          <w:tcPr>
            <w:tcW w:type="dxa" w:w="1361"/>
          </w:tcPr>
          <w:p>
            <w:pPr>
              <w:pStyle w:val="ITable"/>
            </w:pPr>
            <w:r/>
            <w:r>
              <w:t>0.753</w:t>
            </w:r>
          </w:p>
        </w:tc>
        <w:tc>
          <w:tcPr>
            <w:tcW w:type="dxa" w:w="1361"/>
          </w:tcPr>
          <w:p>
            <w:pPr>
              <w:pStyle w:val="ITable"/>
            </w:pPr>
            <w:r/>
            <w:r>
              <w:t>0.611</w:t>
            </w:r>
          </w:p>
        </w:tc>
        <w:tc>
          <w:tcPr>
            <w:tcW w:type="dxa" w:w="1361"/>
          </w:tcPr>
          <w:p>
            <w:pPr>
              <w:pStyle w:val="ITable"/>
            </w:pPr>
            <w:r/>
            <w:r>
              <w:t>0.674</w:t>
            </w:r>
          </w:p>
        </w:tc>
        <w:tc>
          <w:tcPr>
            <w:tcW w:type="dxa" w:w="1361"/>
          </w:tcPr>
          <w:p>
            <w:pPr>
              <w:pStyle w:val="ITable"/>
            </w:pPr>
            <w:r/>
            <w:r>
              <w:t>0.581</w:t>
            </w:r>
          </w:p>
        </w:tc>
      </w:tr>
      <w:tr>
        <w:tc>
          <w:tcPr>
            <w:tcW w:type="dxa" w:w="1361"/>
          </w:tcPr>
          <w:p>
            <w:pPr>
              <w:pStyle w:val="ITable"/>
            </w:pPr>
            <w:r/>
            <w:r>
              <w:t>cell phone</w:t>
            </w:r>
          </w:p>
        </w:tc>
        <w:tc>
          <w:tcPr>
            <w:tcW w:type="dxa" w:w="1361"/>
          </w:tcPr>
          <w:p>
            <w:pPr>
              <w:pStyle w:val="ITable"/>
            </w:pPr>
            <w:r/>
            <w:r>
              <w:t>74</w:t>
            </w:r>
          </w:p>
        </w:tc>
        <w:tc>
          <w:tcPr>
            <w:tcW w:type="dxa" w:w="1361"/>
          </w:tcPr>
          <w:p>
            <w:pPr>
              <w:pStyle w:val="ITable"/>
            </w:pPr>
            <w:r/>
            <w:r>
              <w:t>40</w:t>
            </w:r>
          </w:p>
        </w:tc>
        <w:tc>
          <w:tcPr>
            <w:tcW w:type="dxa" w:w="1361"/>
          </w:tcPr>
          <w:p>
            <w:pPr>
              <w:pStyle w:val="ITable"/>
            </w:pPr>
            <w:r/>
            <w:r>
              <w:t>0.600</w:t>
            </w:r>
          </w:p>
        </w:tc>
        <w:tc>
          <w:tcPr>
            <w:tcW w:type="dxa" w:w="1361"/>
          </w:tcPr>
          <w:p>
            <w:pPr>
              <w:pStyle w:val="ITable"/>
            </w:pPr>
            <w:r/>
            <w:r>
              <w:t>0.324</w:t>
            </w:r>
          </w:p>
        </w:tc>
        <w:tc>
          <w:tcPr>
            <w:tcW w:type="dxa" w:w="1361"/>
          </w:tcPr>
          <w:p>
            <w:pPr>
              <w:pStyle w:val="ITable"/>
            </w:pPr>
            <w:r/>
            <w:r>
              <w:t>0.421</w:t>
            </w:r>
          </w:p>
        </w:tc>
        <w:tc>
          <w:tcPr>
            <w:tcW w:type="dxa" w:w="1361"/>
          </w:tcPr>
          <w:p>
            <w:pPr>
              <w:pStyle w:val="ITable"/>
            </w:pPr>
            <w:r/>
            <w:r>
              <w:t>0.300</w:t>
            </w:r>
          </w:p>
        </w:tc>
      </w:tr>
      <w:tr>
        <w:tc>
          <w:tcPr>
            <w:tcW w:type="dxa" w:w="1361"/>
          </w:tcPr>
          <w:p>
            <w:pPr>
              <w:pStyle w:val="ITable"/>
            </w:pPr>
            <w:r/>
            <w:r>
              <w:t>book</w:t>
            </w:r>
          </w:p>
        </w:tc>
        <w:tc>
          <w:tcPr>
            <w:tcW w:type="dxa" w:w="1361"/>
          </w:tcPr>
          <w:p>
            <w:pPr>
              <w:pStyle w:val="ITable"/>
            </w:pPr>
            <w:r/>
            <w:r>
              <w:t>265</w:t>
            </w:r>
          </w:p>
        </w:tc>
        <w:tc>
          <w:tcPr>
            <w:tcW w:type="dxa" w:w="1361"/>
          </w:tcPr>
          <w:p>
            <w:pPr>
              <w:pStyle w:val="ITable"/>
            </w:pPr>
            <w:r/>
            <w:r>
              <w:t>34</w:t>
            </w:r>
          </w:p>
        </w:tc>
        <w:tc>
          <w:tcPr>
            <w:tcW w:type="dxa" w:w="1361"/>
          </w:tcPr>
          <w:p>
            <w:pPr>
              <w:pStyle w:val="ITable"/>
            </w:pPr>
            <w:r/>
            <w:r>
              <w:t>0.529</w:t>
            </w:r>
          </w:p>
        </w:tc>
        <w:tc>
          <w:tcPr>
            <w:tcW w:type="dxa" w:w="1361"/>
          </w:tcPr>
          <w:p>
            <w:pPr>
              <w:pStyle w:val="ITable"/>
            </w:pPr>
            <w:r/>
            <w:r>
              <w:t>0.068</w:t>
            </w:r>
          </w:p>
        </w:tc>
        <w:tc>
          <w:tcPr>
            <w:tcW w:type="dxa" w:w="1361"/>
          </w:tcPr>
          <w:p>
            <w:pPr>
              <w:pStyle w:val="ITable"/>
            </w:pPr>
            <w:r/>
            <w:r>
              <w:t>0.120</w:t>
            </w:r>
          </w:p>
        </w:tc>
        <w:tc>
          <w:tcPr>
            <w:tcW w:type="dxa" w:w="1361"/>
          </w:tcPr>
          <w:p>
            <w:pPr>
              <w:pStyle w:val="ITable"/>
            </w:pPr>
            <w:r/>
            <w:r>
              <w:t>0.056</w:t>
            </w:r>
          </w:p>
        </w:tc>
      </w:tr>
      <w:tr>
        <w:tc>
          <w:tcPr>
            <w:tcW w:type="dxa" w:w="1361"/>
          </w:tcPr>
          <w:p>
            <w:pPr>
              <w:pStyle w:val="ITable"/>
            </w:pPr>
            <w:r/>
            <w:r>
              <w:rPr>
                <w:b/>
              </w:rPr>
              <w:t>Macro</w:t>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rPr>
                <w:b/>
              </w:rPr>
              <w:t>0.606</w:t>
            </w:r>
          </w:p>
        </w:tc>
        <w:tc>
          <w:tcPr>
            <w:tcW w:type="dxa" w:w="1361"/>
          </w:tcPr>
          <w:p>
            <w:pPr>
              <w:pStyle w:val="ITable"/>
            </w:pPr>
            <w:r/>
            <w:r>
              <w:rPr>
                <w:b/>
              </w:rPr>
              <w:t>0.519</w:t>
            </w:r>
          </w:p>
        </w:tc>
      </w:tr>
    </w:tbl>
    <w:p>
      <w:pPr>
        <w:sectPr>
          <w:type w:val="continuous"/>
          <w:pgSz w:w="11906" w:h="16838"/>
          <w:pgMar w:top="1644" w:right="1077" w:bottom="1134" w:left="1304" w:header="936" w:footer="720"/>
          <w:cols w:num="1" w:space="284"/>
        </w:sectPr>
      </w:pPr>
    </w:p>
    <w:p>
      <w:pPr>
        <w:pStyle w:val="IText"/>
      </w:pPr>
      <w:r>
        <w:t>Per-frame YOLOv8-s inference latency is characterised separately in Section 6.5 (Table 7); on the deployed MPS configuration the median is 34.4 ms per frame.</w:t>
      </w:r>
    </w:p>
    <w:p>
      <w:pPr>
        <w:pStyle w:val="ITex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IFigure"/>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5"/>
                    <a:stretch>
                      <a:fillRect/>
                    </a:stretch>
                  </pic:blipFill>
                  <pic:spPr>
                    <a:xfrm>
                      <a:off x="0" y="0"/>
                      <a:ext cx="2880360" cy="2057400"/>
                    </a:xfrm>
                    <a:prstGeom prst="rect"/>
                  </pic:spPr>
                </pic:pic>
              </a:graphicData>
            </a:graphic>
          </wp:inline>
        </w:drawing>
      </w:r>
    </w:p>
    <w:p>
      <w:pPr>
        <w:pStyle w:val="IFigureCaption"/>
      </w:pPr>
      <w:r>
        <w:rPr>
          <w:b/>
        </w:rPr>
        <w:t xml:space="preserve">Figure 3: </w:t>
      </w:r>
      <w:r>
        <w:t>Precision-recall curves of YOLOv8-s on the COCO val2017 proctoring subset (217 images, 1,164 annotations).</w:t>
      </w:r>
    </w:p>
    <w:p>
      <w:pPr>
        <w:pStyle w:val="IFigure"/>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16"/>
                    <a:stretch>
                      <a:fillRect/>
                    </a:stretch>
                  </pic:blipFill>
                  <pic:spPr>
                    <a:xfrm>
                      <a:off x="0" y="0"/>
                      <a:ext cx="2880360" cy="1512189"/>
                    </a:xfrm>
                    <a:prstGeom prst="rect"/>
                  </pic:spPr>
                </pic:pic>
              </a:graphicData>
            </a:graphic>
          </wp:inline>
        </w:drawing>
      </w:r>
    </w:p>
    <w:p>
      <w:pPr>
        <w:pStyle w:val="IFigureCaption"/>
      </w:pPr>
      <w:r>
        <w:rPr>
          <w:b/>
        </w:rPr>
        <w:t xml:space="preserve">Figure 4: </w:t>
      </w:r>
      <w:r>
        <w:t>Per-class true-positive, false-positive and false-negative counts after greedy IoU 0.5 matching.</w:t>
      </w:r>
    </w:p>
    <w:p>
      <w:pPr>
        <w:pStyle w:val="ISubSectionTitle"/>
      </w:pPr>
      <w:r>
        <w:rPr>
          <w:b/>
        </w:rPr>
        <w:t>Acoustic Subsystem (D2)</w:t>
      </w:r>
    </w:p>
    <w:p>
      <w:pPr>
        <w:pStyle w:val="ITex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ITableCaption"/>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Signal</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Secondary-speaker probability</w:t>
            </w:r>
          </w:p>
        </w:tc>
        <w:tc>
          <w:tcPr>
            <w:tcW w:type="dxa" w:w="1905"/>
          </w:tcPr>
          <w:p>
            <w:pPr>
              <w:pStyle w:val="ITable"/>
            </w:pPr>
            <w:r/>
            <w:r>
              <w:t>0.774</w:t>
            </w:r>
          </w:p>
        </w:tc>
        <w:tc>
          <w:tcPr>
            <w:tcW w:type="dxa" w:w="1905"/>
          </w:tcPr>
          <w:p>
            <w:pPr>
              <w:pStyle w:val="ITable"/>
            </w:pPr>
            <w:r/>
            <w:r>
              <w:t>0.600</w:t>
            </w:r>
          </w:p>
        </w:tc>
        <w:tc>
          <w:tcPr>
            <w:tcW w:type="dxa" w:w="1905"/>
          </w:tcPr>
          <w:p>
            <w:pPr>
              <w:pStyle w:val="ITable"/>
            </w:pPr>
            <w:r/>
            <w:r>
              <w:t>0.779</w:t>
            </w:r>
          </w:p>
        </w:tc>
        <w:tc>
          <w:tcPr>
            <w:tcW w:type="dxa" w:w="1905"/>
          </w:tcPr>
          <w:p>
            <w:pPr>
              <w:pStyle w:val="ITable"/>
            </w:pPr>
            <w:r/>
            <w:r>
              <w:t>0.017</w:t>
            </w:r>
          </w:p>
        </w:tc>
      </w:tr>
      <w:tr>
        <w:tc>
          <w:tcPr>
            <w:tcW w:type="dxa" w:w="1905"/>
          </w:tcPr>
          <w:p>
            <w:pPr>
              <w:pStyle w:val="ITable"/>
            </w:pPr>
            <w:r/>
            <w:r>
              <w:t>Overlap probability</w:t>
            </w:r>
          </w:p>
        </w:tc>
        <w:tc>
          <w:tcPr>
            <w:tcW w:type="dxa" w:w="1905"/>
          </w:tcPr>
          <w:p>
            <w:pPr>
              <w:pStyle w:val="ITable"/>
            </w:pPr>
            <w:r/>
            <w:r>
              <w:t>0.771</w:t>
            </w:r>
          </w:p>
        </w:tc>
        <w:tc>
          <w:tcPr>
            <w:tcW w:type="dxa" w:w="1905"/>
          </w:tcPr>
          <w:p>
            <w:pPr>
              <w:pStyle w:val="ITable"/>
            </w:pPr>
            <w:r/>
            <w:r>
              <w:t>0.601</w:t>
            </w:r>
          </w:p>
        </w:tc>
        <w:tc>
          <w:tcPr>
            <w:tcW w:type="dxa" w:w="1905"/>
          </w:tcPr>
          <w:p>
            <w:pPr>
              <w:pStyle w:val="ITable"/>
            </w:pPr>
            <w:r/>
            <w:r>
              <w:t>0.770</w:t>
            </w:r>
          </w:p>
        </w:tc>
        <w:tc>
          <w:tcPr>
            <w:tcW w:type="dxa" w:w="1905"/>
          </w:tcPr>
          <w:p>
            <w:pPr>
              <w:pStyle w:val="ITable"/>
            </w:pPr>
            <w:r/>
            <w:r>
              <w:t>0.004</w:t>
            </w:r>
          </w:p>
        </w:tc>
      </w:tr>
      <w:tr>
        <w:tc>
          <w:tcPr>
            <w:tcW w:type="dxa" w:w="1905"/>
          </w:tcPr>
          <w:p>
            <w:pPr>
              <w:pStyle w:val="ITable"/>
            </w:pPr>
            <w:r/>
            <w:r>
              <w:t>Whisper probability</w:t>
            </w:r>
          </w:p>
        </w:tc>
        <w:tc>
          <w:tcPr>
            <w:tcW w:type="dxa" w:w="1905"/>
          </w:tcPr>
          <w:p>
            <w:pPr>
              <w:pStyle w:val="ITable"/>
            </w:pPr>
            <w:r/>
            <w:r>
              <w:t>0.935</w:t>
            </w:r>
          </w:p>
        </w:tc>
        <w:tc>
          <w:tcPr>
            <w:tcW w:type="dxa" w:w="1905"/>
          </w:tcPr>
          <w:p>
            <w:pPr>
              <w:pStyle w:val="ITable"/>
            </w:pPr>
            <w:r/>
            <w:r>
              <w:t>0.910</w:t>
            </w:r>
          </w:p>
        </w:tc>
        <w:tc>
          <w:tcPr>
            <w:tcW w:type="dxa" w:w="1905"/>
          </w:tcPr>
          <w:p>
            <w:pPr>
              <w:pStyle w:val="ITable"/>
            </w:pPr>
            <w:r/>
            <w:r>
              <w:t>0.832</w:t>
            </w:r>
          </w:p>
        </w:tc>
        <w:tc>
          <w:tcPr>
            <w:tcW w:type="dxa" w:w="1905"/>
          </w:tcPr>
          <w:p>
            <w:pPr>
              <w:pStyle w:val="ITable"/>
            </w:pPr>
            <w:r/>
            <w:r>
              <w:t>0.010</w:t>
            </w:r>
          </w:p>
        </w:tc>
      </w:tr>
    </w:tbl>
    <w:p>
      <w:pPr>
        <w:sectPr>
          <w:type w:val="continuous"/>
          <w:pgSz w:w="11906" w:h="16838"/>
          <w:pgMar w:top="1644" w:right="1077" w:bottom="1134" w:left="1304" w:header="936" w:footer="720"/>
          <w:cols w:num="1" w:space="284"/>
        </w:sectPr>
      </w:pPr>
    </w:p>
    <w:p>
      <w:pPr>
        <w:pStyle w:val="ITex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17"/>
                    <a:stretch>
                      <a:fillRect/>
                    </a:stretch>
                  </pic:blipFill>
                  <pic:spPr>
                    <a:xfrm>
                      <a:off x="0" y="0"/>
                      <a:ext cx="5852160" cy="2394065"/>
                    </a:xfrm>
                    <a:prstGeom prst="rect"/>
                  </pic:spPr>
                </pic:pic>
              </a:graphicData>
            </a:graphic>
          </wp:inline>
        </w:drawing>
      </w:r>
    </w:p>
    <w:p>
      <w:pPr>
        <w:pStyle w:val="IFigureCaption"/>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18"/>
                    <a:stretch>
                      <a:fillRect/>
                    </a:stretch>
                  </pic:blipFill>
                  <pic:spPr>
                    <a:xfrm>
                      <a:off x="0" y="0"/>
                      <a:ext cx="2880360" cy="1613002"/>
                    </a:xfrm>
                    <a:prstGeom prst="rect"/>
                  </pic:spPr>
                </pic:pic>
              </a:graphicData>
            </a:graphic>
          </wp:inline>
        </w:drawing>
      </w:r>
    </w:p>
    <w:p>
      <w:pPr>
        <w:pStyle w:val="IFigureCaption"/>
      </w:pPr>
      <w:r>
        <w:rPr>
          <w:b/>
        </w:rPr>
        <w:t xml:space="preserve">Figure 6: </w:t>
      </w:r>
      <w:r>
        <w:t>Per-class distribution of the secondary-speaker probability on the 400-clip LibriSpeech benchmark.</w:t>
      </w:r>
    </w:p>
    <w:p>
      <w:pPr>
        <w:pStyle w:val="ISubSectionTitle"/>
      </w:pPr>
      <w:r>
        <w:rPr>
          <w:b/>
        </w:rPr>
        <w:t>Behavioural Cues (D3)</w:t>
      </w:r>
    </w:p>
    <w:p>
      <w:pPr>
        <w:pStyle w:val="ITex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ITableCaption"/>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Task</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Sustained off-screen gaze</w:t>
            </w:r>
          </w:p>
        </w:tc>
        <w:tc>
          <w:tcPr>
            <w:tcW w:type="dxa" w:w="1905"/>
          </w:tcPr>
          <w:p>
            <w:pPr>
              <w:pStyle w:val="ITable"/>
            </w:pPr>
            <w:r/>
            <w:r>
              <w:t>0.938</w:t>
            </w:r>
          </w:p>
        </w:tc>
        <w:tc>
          <w:tcPr>
            <w:tcW w:type="dxa" w:w="1905"/>
          </w:tcPr>
          <w:p>
            <w:pPr>
              <w:pStyle w:val="ITable"/>
            </w:pPr>
            <w:r/>
            <w:r>
              <w:t>0.886</w:t>
            </w:r>
          </w:p>
        </w:tc>
        <w:tc>
          <w:tcPr>
            <w:tcW w:type="dxa" w:w="1905"/>
          </w:tcPr>
          <w:p>
            <w:pPr>
              <w:pStyle w:val="ITable"/>
            </w:pPr>
            <w:r/>
            <w:r>
              <w:t>0.873</w:t>
            </w:r>
          </w:p>
        </w:tc>
        <w:tc>
          <w:tcPr>
            <w:tcW w:type="dxa" w:w="1905"/>
          </w:tcPr>
          <w:p>
            <w:pPr>
              <w:pStyle w:val="ITable"/>
            </w:pPr>
            <w:r/>
            <w:r>
              <w:t>32.2° (combined)</w:t>
            </w:r>
          </w:p>
        </w:tc>
      </w:tr>
      <w:tr>
        <w:tc>
          <w:tcPr>
            <w:tcW w:type="dxa" w:w="1905"/>
          </w:tcPr>
          <w:p>
            <w:pPr>
              <w:pStyle w:val="ITable"/>
            </w:pPr>
            <w:r/>
            <w:r>
              <w:t>Lip movement without keyboard</w:t>
            </w:r>
          </w:p>
        </w:tc>
        <w:tc>
          <w:tcPr>
            <w:tcW w:type="dxa" w:w="1905"/>
          </w:tcPr>
          <w:p>
            <w:pPr>
              <w:pStyle w:val="ITable"/>
            </w:pPr>
            <w:r/>
            <w:r>
              <w:t>0.663</w:t>
            </w:r>
          </w:p>
        </w:tc>
        <w:tc>
          <w:tcPr>
            <w:tcW w:type="dxa" w:w="1905"/>
          </w:tcPr>
          <w:p>
            <w:pPr>
              <w:pStyle w:val="ITable"/>
            </w:pPr>
            <w:r/>
            <w:r>
              <w:t>0.314</w:t>
            </w:r>
          </w:p>
        </w:tc>
        <w:tc>
          <w:tcPr>
            <w:tcW w:type="dxa" w:w="1905"/>
          </w:tcPr>
          <w:p>
            <w:pPr>
              <w:pStyle w:val="ITable"/>
            </w:pPr>
            <w:r/>
            <w:r>
              <w:t>0.393</w:t>
            </w:r>
          </w:p>
        </w:tc>
        <w:tc>
          <w:tcPr>
            <w:tcW w:type="dxa" w:w="1905"/>
          </w:tcPr>
          <w:p>
            <w:pPr>
              <w:pStyle w:val="ITable"/>
            </w:pPr>
            <w:r/>
            <w:r>
              <w:t>10.1 (variance scale)</w:t>
            </w:r>
          </w:p>
        </w:tc>
      </w:tr>
    </w:tbl>
    <w:p>
      <w:pPr>
        <w:sectPr>
          <w:type w:val="continuous"/>
          <w:pgSz w:w="11906" w:h="16838"/>
          <w:pgMar w:top="1644" w:right="1077" w:bottom="1134" w:left="1304" w:header="936" w:footer="720"/>
          <w:cols w:num="1" w:space="284"/>
        </w:sectPr>
      </w:pPr>
    </w:p>
    <w:p>
      <w:pPr>
        <w:pStyle w:val="ITex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IFigure"/>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19"/>
                    <a:stretch>
                      <a:fillRect/>
                    </a:stretch>
                  </pic:blipFill>
                  <pic:spPr>
                    <a:xfrm>
                      <a:off x="0" y="0"/>
                      <a:ext cx="2880360" cy="1178329"/>
                    </a:xfrm>
                    <a:prstGeom prst="rect"/>
                  </pic:spPr>
                </pic:pic>
              </a:graphicData>
            </a:graphic>
          </wp:inline>
        </w:drawing>
      </w:r>
    </w:p>
    <w:p>
      <w:pPr>
        <w:pStyle w:val="IFigureCaption"/>
      </w:pPr>
      <w:r>
        <w:rPr>
          <w:b/>
        </w:rPr>
        <w:t xml:space="preserve">Figure 7: </w:t>
      </w:r>
      <w:r>
        <w:t>Per-scenario distribution of the geometric descriptors (yaw amplitude and lip variance) computed from MediaPipe FaceMesh landmarks of real Pexels face anchors.</w:t>
      </w:r>
    </w:p>
    <w:p>
      <w:pPr>
        <w:pStyle w:val="ISubSectionTitle"/>
      </w:pPr>
      <w:r>
        <w:rPr>
          <w:b/>
        </w:rPr>
        <w:t>Fusion Model Comparison and Ablation (D4)</w:t>
      </w:r>
    </w:p>
    <w:p>
      <w:pPr>
        <w:pStyle w:val="ITex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ITableCaption"/>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Model</w:t>
            </w:r>
          </w:p>
        </w:tc>
        <w:tc>
          <w:tcPr>
            <w:tcW w:type="dxa" w:w="1361"/>
          </w:tcPr>
          <w:p>
            <w:pPr>
              <w:pStyle w:val="ITable"/>
            </w:pPr>
            <w:r/>
            <w:r>
              <w:rPr>
                <w:b/>
              </w:rPr>
              <w:t>F1</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ROC AUC</w:t>
            </w:r>
          </w:p>
        </w:tc>
        <w:tc>
          <w:tcPr>
            <w:tcW w:type="dxa" w:w="1361"/>
          </w:tcPr>
          <w:p>
            <w:pPr>
              <w:pStyle w:val="ITable"/>
            </w:pPr>
            <w:r/>
            <w:r>
              <w:rPr>
                <w:b/>
              </w:rPr>
              <w:t>PR AUC</w:t>
            </w:r>
          </w:p>
        </w:tc>
        <w:tc>
          <w:tcPr>
            <w:tcW w:type="dxa" w:w="1361"/>
          </w:tcPr>
          <w:p>
            <w:pPr>
              <w:pStyle w:val="ITable"/>
            </w:pPr>
            <w:r/>
            <w:r>
              <w:rPr>
                <w:b/>
              </w:rPr>
              <w:t>95% CI on F1</w:t>
            </w:r>
          </w:p>
        </w:tc>
      </w:tr>
      <w:tr>
        <w:tc>
          <w:tcPr>
            <w:tcW w:type="dxa" w:w="1361"/>
          </w:tcPr>
          <w:p>
            <w:pPr>
              <w:pStyle w:val="ITable"/>
            </w:pPr>
            <w:r/>
            <w:r>
              <w:t>Weighted sum (paper baseline)</w:t>
            </w:r>
          </w:p>
        </w:tc>
        <w:tc>
          <w:tcPr>
            <w:tcW w:type="dxa" w:w="1361"/>
          </w:tcPr>
          <w:p>
            <w:pPr>
              <w:pStyle w:val="ITable"/>
            </w:pPr>
            <w:r/>
            <w:r>
              <w:t>0.899 ± 0.011</w:t>
            </w:r>
          </w:p>
        </w:tc>
        <w:tc>
          <w:tcPr>
            <w:tcW w:type="dxa" w:w="1361"/>
          </w:tcPr>
          <w:p>
            <w:pPr>
              <w:pStyle w:val="ITable"/>
            </w:pPr>
            <w:r/>
            <w:r>
              <w:t>0.831</w:t>
            </w:r>
          </w:p>
        </w:tc>
        <w:tc>
          <w:tcPr>
            <w:tcW w:type="dxa" w:w="1361"/>
          </w:tcPr>
          <w:p>
            <w:pPr>
              <w:pStyle w:val="ITable"/>
            </w:pPr>
            <w:r/>
            <w:r>
              <w:t>0.979</w:t>
            </w:r>
          </w:p>
        </w:tc>
        <w:tc>
          <w:tcPr>
            <w:tcW w:type="dxa" w:w="1361"/>
          </w:tcPr>
          <w:p>
            <w:pPr>
              <w:pStyle w:val="ITable"/>
            </w:pPr>
            <w:r/>
            <w:r>
              <w:t>0.729</w:t>
            </w:r>
          </w:p>
        </w:tc>
        <w:tc>
          <w:tcPr>
            <w:tcW w:type="dxa" w:w="1361"/>
          </w:tcPr>
          <w:p>
            <w:pPr>
              <w:pStyle w:val="ITable"/>
            </w:pPr>
            <w:r/>
            <w:r>
              <w:t>0.905</w:t>
            </w:r>
          </w:p>
        </w:tc>
        <w:tc>
          <w:tcPr>
            <w:tcW w:type="dxa" w:w="1361"/>
          </w:tcPr>
          <w:p>
            <w:pPr>
              <w:pStyle w:val="ITable"/>
            </w:pPr>
            <w:r/>
            <w:r>
              <w:t>[0.871, 0.924]</w:t>
            </w:r>
          </w:p>
        </w:tc>
      </w:tr>
      <w:tr>
        <w:tc>
          <w:tcPr>
            <w:tcW w:type="dxa" w:w="1361"/>
          </w:tcPr>
          <w:p>
            <w:pPr>
              <w:pStyle w:val="ITable"/>
            </w:pPr>
            <w:r/>
            <w:r>
              <w:t>Logistic regression</w:t>
            </w:r>
          </w:p>
        </w:tc>
        <w:tc>
          <w:tcPr>
            <w:tcW w:type="dxa" w:w="1361"/>
          </w:tcPr>
          <w:p>
            <w:pPr>
              <w:pStyle w:val="ITable"/>
            </w:pPr>
            <w:r/>
            <w:r>
              <w:t>0.873 ± 0.020</w:t>
            </w:r>
          </w:p>
        </w:tc>
        <w:tc>
          <w:tcPr>
            <w:tcW w:type="dxa" w:w="1361"/>
          </w:tcPr>
          <w:p>
            <w:pPr>
              <w:pStyle w:val="ITable"/>
            </w:pPr>
            <w:r/>
            <w:r>
              <w:t>0.961</w:t>
            </w:r>
          </w:p>
        </w:tc>
        <w:tc>
          <w:tcPr>
            <w:tcW w:type="dxa" w:w="1361"/>
          </w:tcPr>
          <w:p>
            <w:pPr>
              <w:pStyle w:val="ITable"/>
            </w:pPr>
            <w:r/>
            <w:r>
              <w:t>0.800</w:t>
            </w:r>
          </w:p>
        </w:tc>
        <w:tc>
          <w:tcPr>
            <w:tcW w:type="dxa" w:w="1361"/>
          </w:tcPr>
          <w:p>
            <w:pPr>
              <w:pStyle w:val="ITable"/>
            </w:pPr>
            <w:r/>
            <w:r>
              <w:t>0.912</w:t>
            </w:r>
          </w:p>
        </w:tc>
        <w:tc>
          <w:tcPr>
            <w:tcW w:type="dxa" w:w="1361"/>
          </w:tcPr>
          <w:p>
            <w:pPr>
              <w:pStyle w:val="ITable"/>
            </w:pPr>
            <w:r/>
            <w:r>
              <w:t>0.976</w:t>
            </w:r>
          </w:p>
        </w:tc>
        <w:tc>
          <w:tcPr>
            <w:tcW w:type="dxa" w:w="1361"/>
          </w:tcPr>
          <w:p>
            <w:pPr>
              <w:pStyle w:val="ITable"/>
            </w:pPr>
            <w:r/>
            <w:r>
              <w:t>[0.837, 0.904]</w:t>
            </w:r>
          </w:p>
        </w:tc>
      </w:tr>
      <w:tr>
        <w:tc>
          <w:tcPr>
            <w:tcW w:type="dxa" w:w="1361"/>
          </w:tcPr>
          <w:p>
            <w:pPr>
              <w:pStyle w:val="ITable"/>
            </w:pPr>
            <w:r/>
            <w:r>
              <w:rPr>
                <w:b/>
              </w:rPr>
              <w:t>Random forest</w:t>
            </w:r>
          </w:p>
        </w:tc>
        <w:tc>
          <w:tcPr>
            <w:tcW w:type="dxa" w:w="1361"/>
          </w:tcPr>
          <w:p>
            <w:pPr>
              <w:pStyle w:val="ITable"/>
            </w:pPr>
            <w:r/>
            <w:r>
              <w:rPr>
                <w:b/>
              </w:rPr>
              <w:t>0.905 ± 0.041</w:t>
            </w:r>
          </w:p>
        </w:tc>
        <w:tc>
          <w:tcPr>
            <w:tcW w:type="dxa" w:w="1361"/>
          </w:tcPr>
          <w:p>
            <w:pPr>
              <w:pStyle w:val="ITable"/>
            </w:pPr>
            <w:r/>
            <w:r>
              <w:t>0.891</w:t>
            </w:r>
          </w:p>
        </w:tc>
        <w:tc>
          <w:tcPr>
            <w:tcW w:type="dxa" w:w="1361"/>
          </w:tcPr>
          <w:p>
            <w:pPr>
              <w:pStyle w:val="ITable"/>
            </w:pPr>
            <w:r/>
            <w:r>
              <w:t>0.921</w:t>
            </w:r>
          </w:p>
        </w:tc>
        <w:tc>
          <w:tcPr>
            <w:tcW w:type="dxa" w:w="1361"/>
          </w:tcPr>
          <w:p>
            <w:pPr>
              <w:pStyle w:val="ITable"/>
            </w:pPr>
            <w:r/>
            <w:r>
              <w:t>0.886</w:t>
            </w:r>
          </w:p>
        </w:tc>
        <w:tc>
          <w:tcPr>
            <w:tcW w:type="dxa" w:w="1361"/>
          </w:tcPr>
          <w:p>
            <w:pPr>
              <w:pStyle w:val="ITable"/>
            </w:pPr>
            <w:r/>
            <w:r>
              <w:t>0.968</w:t>
            </w:r>
          </w:p>
        </w:tc>
        <w:tc>
          <w:tcPr>
            <w:tcW w:type="dxa" w:w="1361"/>
          </w:tcPr>
          <w:p>
            <w:pPr>
              <w:pStyle w:val="ITable"/>
            </w:pPr>
            <w:r/>
            <w:r>
              <w:rPr>
                <w:b/>
              </w:rPr>
              <w:t>[0.876, 0.931]</w:t>
            </w:r>
          </w:p>
        </w:tc>
      </w:tr>
      <w:tr>
        <w:tc>
          <w:tcPr>
            <w:tcW w:type="dxa" w:w="1361"/>
          </w:tcPr>
          <w:p>
            <w:pPr>
              <w:pStyle w:val="ITable"/>
            </w:pPr>
            <w:r/>
            <w:r>
              <w:t>MLP (32, 16)</w:t>
            </w:r>
          </w:p>
        </w:tc>
        <w:tc>
          <w:tcPr>
            <w:tcW w:type="dxa" w:w="1361"/>
          </w:tcPr>
          <w:p>
            <w:pPr>
              <w:pStyle w:val="ITable"/>
            </w:pPr>
            <w:r/>
            <w:r>
              <w:t>0.861 ± 0.028</w:t>
            </w:r>
          </w:p>
        </w:tc>
        <w:tc>
          <w:tcPr>
            <w:tcW w:type="dxa" w:w="1361"/>
          </w:tcPr>
          <w:p>
            <w:pPr>
              <w:pStyle w:val="ITable"/>
            </w:pPr>
            <w:r/>
            <w:r>
              <w:t>0.826</w:t>
            </w:r>
          </w:p>
        </w:tc>
        <w:tc>
          <w:tcPr>
            <w:tcW w:type="dxa" w:w="1361"/>
          </w:tcPr>
          <w:p>
            <w:pPr>
              <w:pStyle w:val="ITable"/>
            </w:pPr>
            <w:r/>
            <w:r>
              <w:t>0.900</w:t>
            </w:r>
          </w:p>
        </w:tc>
        <w:tc>
          <w:tcPr>
            <w:tcW w:type="dxa" w:w="1361"/>
          </w:tcPr>
          <w:p>
            <w:pPr>
              <w:pStyle w:val="ITable"/>
            </w:pPr>
            <w:r/>
            <w:r>
              <w:t>0.703</w:t>
            </w:r>
          </w:p>
        </w:tc>
        <w:tc>
          <w:tcPr>
            <w:tcW w:type="dxa" w:w="1361"/>
          </w:tcPr>
          <w:p>
            <w:pPr>
              <w:pStyle w:val="ITable"/>
            </w:pPr>
            <w:r/>
            <w:r>
              <w:t>0.914</w:t>
            </w:r>
          </w:p>
        </w:tc>
        <w:tc>
          <w:tcPr>
            <w:tcW w:type="dxa" w:w="1361"/>
          </w:tcPr>
          <w:p>
            <w:pPr>
              <w:pStyle w:val="ITable"/>
            </w:pPr>
            <w:r/>
            <w:r>
              <w:t>[0.828, 0.890]</w:t>
            </w:r>
          </w:p>
        </w:tc>
      </w:tr>
      <w:tr>
        <w:tc>
          <w:tcPr>
            <w:tcW w:type="dxa" w:w="1361"/>
          </w:tcPr>
          <w:p>
            <w:pPr>
              <w:pStyle w:val="ITable"/>
            </w:pPr>
            <w:r/>
            <w:r>
              <w:t>Gaussian naive Bayes</w:t>
            </w:r>
          </w:p>
        </w:tc>
        <w:tc>
          <w:tcPr>
            <w:tcW w:type="dxa" w:w="1361"/>
          </w:tcPr>
          <w:p>
            <w:pPr>
              <w:pStyle w:val="ITable"/>
            </w:pPr>
            <w:r/>
            <w:r>
              <w:t>0.803 ± 0.044</w:t>
            </w:r>
          </w:p>
        </w:tc>
        <w:tc>
          <w:tcPr>
            <w:tcW w:type="dxa" w:w="1361"/>
          </w:tcPr>
          <w:p>
            <w:pPr>
              <w:pStyle w:val="ITable"/>
            </w:pPr>
            <w:r/>
            <w:r>
              <w:t>0.944</w:t>
            </w:r>
          </w:p>
        </w:tc>
        <w:tc>
          <w:tcPr>
            <w:tcW w:type="dxa" w:w="1361"/>
          </w:tcPr>
          <w:p>
            <w:pPr>
              <w:pStyle w:val="ITable"/>
            </w:pPr>
            <w:r/>
            <w:r>
              <w:t>0.700</w:t>
            </w:r>
          </w:p>
        </w:tc>
        <w:tc>
          <w:tcPr>
            <w:tcW w:type="dxa" w:w="1361"/>
          </w:tcPr>
          <w:p>
            <w:pPr>
              <w:pStyle w:val="ITable"/>
            </w:pPr>
            <w:r/>
            <w:r>
              <w:t>0.834</w:t>
            </w:r>
          </w:p>
        </w:tc>
        <w:tc>
          <w:tcPr>
            <w:tcW w:type="dxa" w:w="1361"/>
          </w:tcPr>
          <w:p>
            <w:pPr>
              <w:pStyle w:val="ITable"/>
            </w:pPr>
            <w:r/>
            <w:r>
              <w:t>0.952</w:t>
            </w:r>
          </w:p>
        </w:tc>
        <w:tc>
          <w:tcPr>
            <w:tcW w:type="dxa" w:w="1361"/>
          </w:tcPr>
          <w:p>
            <w:pPr>
              <w:pStyle w:val="ITable"/>
            </w:pPr>
            <w:r/>
            <w:r>
              <w:t>[0.761, 0.845]</w:t>
            </w:r>
          </w:p>
        </w:tc>
      </w:tr>
    </w:tbl>
    <w:p>
      <w:pPr>
        <w:sectPr>
          <w:type w:val="continuous"/>
          <w:pgSz w:w="11906" w:h="16838"/>
          <w:pgMar w:top="1644" w:right="1077" w:bottom="1134" w:left="1304" w:header="936" w:footer="720"/>
          <w:cols w:num="1" w:space="284"/>
        </w:sectPr>
      </w:pPr>
    </w:p>
    <w:p>
      <w:pPr>
        <w:pStyle w:val="ITex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ITex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ITableCaption"/>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pStyle w:val="ITable"/>
            </w:pPr>
            <w:r/>
            <w:r>
              <w:rPr>
                <w:b/>
              </w:rPr>
              <w:t>Configuration</w:t>
            </w:r>
          </w:p>
        </w:tc>
        <w:tc>
          <w:tcPr>
            <w:tcW w:type="dxa" w:w="2381"/>
          </w:tcPr>
          <w:p>
            <w:pPr>
              <w:pStyle w:val="ITable"/>
            </w:pPr>
            <w:r/>
            <w:r>
              <w:rPr>
                <w:b/>
              </w:rPr>
              <w:t>F1</w:t>
            </w:r>
          </w:p>
        </w:tc>
        <w:tc>
          <w:tcPr>
            <w:tcW w:type="dxa" w:w="2381"/>
          </w:tcPr>
          <w:p>
            <w:pPr>
              <w:pStyle w:val="ITable"/>
            </w:pPr>
            <w:r/>
            <w:r>
              <w:rPr>
                <w:b/>
              </w:rPr>
              <w:t>ROC AUC</w:t>
            </w:r>
          </w:p>
        </w:tc>
        <w:tc>
          <w:tcPr>
            <w:tcW w:type="dxa" w:w="2381"/>
          </w:tcPr>
          <w:p>
            <w:pPr>
              <w:pStyle w:val="ITable"/>
            </w:pPr>
            <w:r/>
            <w:r>
              <w:rPr>
                <w:b/>
              </w:rPr>
              <w:t>ΔF1 vs all</w:t>
            </w:r>
          </w:p>
        </w:tc>
      </w:tr>
      <w:tr>
        <w:tc>
          <w:tcPr>
            <w:tcW w:type="dxa" w:w="2381"/>
          </w:tcPr>
          <w:p>
            <w:pPr>
              <w:pStyle w:val="ITable"/>
            </w:pPr>
            <w:r/>
            <w:r>
              <w:t>All modalities</w:t>
            </w:r>
          </w:p>
        </w:tc>
        <w:tc>
          <w:tcPr>
            <w:tcW w:type="dxa" w:w="2381"/>
          </w:tcPr>
          <w:p>
            <w:pPr>
              <w:pStyle w:val="ITable"/>
            </w:pPr>
            <w:r/>
            <w:r>
              <w:t>0.905 ± 0.041</w:t>
            </w:r>
          </w:p>
        </w:tc>
        <w:tc>
          <w:tcPr>
            <w:tcW w:type="dxa" w:w="2381"/>
          </w:tcPr>
          <w:p>
            <w:pPr>
              <w:pStyle w:val="ITable"/>
            </w:pPr>
            <w:r/>
            <w:r>
              <w:t>0.886</w:t>
            </w:r>
          </w:p>
        </w:tc>
        <w:tc>
          <w:tcPr>
            <w:tcW w:type="dxa" w:w="2381"/>
          </w:tcPr>
          <w:p>
            <w:pPr>
              <w:pStyle w:val="ITable"/>
            </w:pPr>
            <w:r/>
            <w:r>
              <w:t>n/a</w:t>
            </w:r>
          </w:p>
        </w:tc>
      </w:tr>
      <w:tr>
        <w:tc>
          <w:tcPr>
            <w:tcW w:type="dxa" w:w="2381"/>
          </w:tcPr>
          <w:p>
            <w:pPr>
              <w:pStyle w:val="ITable"/>
            </w:pPr>
            <w:r/>
            <w:r>
              <w:t>, without visual</w:t>
            </w:r>
          </w:p>
        </w:tc>
        <w:tc>
          <w:tcPr>
            <w:tcW w:type="dxa" w:w="2381"/>
          </w:tcPr>
          <w:p>
            <w:pPr>
              <w:pStyle w:val="ITable"/>
            </w:pPr>
            <w:r/>
            <w:r>
              <w:t>0.866 ± 0.018</w:t>
            </w:r>
          </w:p>
        </w:tc>
        <w:tc>
          <w:tcPr>
            <w:tcW w:type="dxa" w:w="2381"/>
          </w:tcPr>
          <w:p>
            <w:pPr>
              <w:pStyle w:val="ITable"/>
            </w:pPr>
            <w:r/>
            <w:r>
              <w:t>0.793</w:t>
            </w:r>
          </w:p>
        </w:tc>
        <w:tc>
          <w:tcPr>
            <w:tcW w:type="dxa" w:w="2381"/>
          </w:tcPr>
          <w:p>
            <w:pPr>
              <w:pStyle w:val="ITable"/>
            </w:pPr>
            <w:r/>
            <w:r>
              <w:t>−0.039</w:t>
            </w:r>
          </w:p>
        </w:tc>
      </w:tr>
      <w:tr>
        <w:tc>
          <w:tcPr>
            <w:tcW w:type="dxa" w:w="2381"/>
          </w:tcPr>
          <w:p>
            <w:pPr>
              <w:pStyle w:val="ITable"/>
            </w:pPr>
            <w:r/>
            <w:r>
              <w:t>, without acoustic</w:t>
            </w:r>
          </w:p>
        </w:tc>
        <w:tc>
          <w:tcPr>
            <w:tcW w:type="dxa" w:w="2381"/>
          </w:tcPr>
          <w:p>
            <w:pPr>
              <w:pStyle w:val="ITable"/>
            </w:pPr>
            <w:r/>
            <w:r>
              <w:t>0.901 ± 0.025</w:t>
            </w:r>
          </w:p>
        </w:tc>
        <w:tc>
          <w:tcPr>
            <w:tcW w:type="dxa" w:w="2381"/>
          </w:tcPr>
          <w:p>
            <w:pPr>
              <w:pStyle w:val="ITable"/>
            </w:pPr>
            <w:r/>
            <w:r>
              <w:t>0.892</w:t>
            </w:r>
          </w:p>
        </w:tc>
        <w:tc>
          <w:tcPr>
            <w:tcW w:type="dxa" w:w="2381"/>
          </w:tcPr>
          <w:p>
            <w:pPr>
              <w:pStyle w:val="ITable"/>
            </w:pPr>
            <w:r/>
            <w:r>
              <w:t>−0.004</w:t>
            </w:r>
          </w:p>
        </w:tc>
      </w:tr>
      <w:tr>
        <w:tc>
          <w:tcPr>
            <w:tcW w:type="dxa" w:w="2381"/>
          </w:tcPr>
          <w:p>
            <w:pPr>
              <w:pStyle w:val="ITable"/>
            </w:pPr>
            <w:r/>
            <w:r>
              <w:t>, without behaviour</w:t>
            </w:r>
          </w:p>
        </w:tc>
        <w:tc>
          <w:tcPr>
            <w:tcW w:type="dxa" w:w="2381"/>
          </w:tcPr>
          <w:p>
            <w:pPr>
              <w:pStyle w:val="ITable"/>
            </w:pPr>
            <w:r/>
            <w:r>
              <w:t>0.869 ± 0.031</w:t>
            </w:r>
          </w:p>
        </w:tc>
        <w:tc>
          <w:tcPr>
            <w:tcW w:type="dxa" w:w="2381"/>
          </w:tcPr>
          <w:p>
            <w:pPr>
              <w:pStyle w:val="ITable"/>
            </w:pPr>
            <w:r/>
            <w:r>
              <w:t>0.732</w:t>
            </w:r>
          </w:p>
        </w:tc>
        <w:tc>
          <w:tcPr>
            <w:tcW w:type="dxa" w:w="2381"/>
          </w:tcPr>
          <w:p>
            <w:pPr>
              <w:pStyle w:val="ITable"/>
            </w:pPr>
            <w:r/>
            <w:r>
              <w:t>−0.036</w:t>
            </w:r>
          </w:p>
        </w:tc>
      </w:tr>
      <w:tr>
        <w:tc>
          <w:tcPr>
            <w:tcW w:type="dxa" w:w="2381"/>
          </w:tcPr>
          <w:p>
            <w:pPr>
              <w:pStyle w:val="ITable"/>
            </w:pPr>
            <w:r/>
            <w:r>
              <w:t>Visual only</w:t>
            </w:r>
          </w:p>
        </w:tc>
        <w:tc>
          <w:tcPr>
            <w:tcW w:type="dxa" w:w="2381"/>
          </w:tcPr>
          <w:p>
            <w:pPr>
              <w:pStyle w:val="ITable"/>
            </w:pPr>
            <w:r/>
            <w:r>
              <w:t>0.727 ± 0.063</w:t>
            </w:r>
          </w:p>
        </w:tc>
        <w:tc>
          <w:tcPr>
            <w:tcW w:type="dxa" w:w="2381"/>
          </w:tcPr>
          <w:p>
            <w:pPr>
              <w:pStyle w:val="ITable"/>
            </w:pPr>
            <w:r/>
            <w:r>
              <w:t>0.684</w:t>
            </w:r>
          </w:p>
        </w:tc>
        <w:tc>
          <w:tcPr>
            <w:tcW w:type="dxa" w:w="2381"/>
          </w:tcPr>
          <w:p>
            <w:pPr>
              <w:pStyle w:val="ITable"/>
            </w:pPr>
            <w:r/>
            <w:r>
              <w:t>−0.178</w:t>
            </w:r>
          </w:p>
        </w:tc>
      </w:tr>
      <w:tr>
        <w:tc>
          <w:tcPr>
            <w:tcW w:type="dxa" w:w="2381"/>
          </w:tcPr>
          <w:p>
            <w:pPr>
              <w:pStyle w:val="ITable"/>
            </w:pPr>
            <w:r/>
            <w:r>
              <w:t>Acoustic only</w:t>
            </w:r>
          </w:p>
        </w:tc>
        <w:tc>
          <w:tcPr>
            <w:tcW w:type="dxa" w:w="2381"/>
          </w:tcPr>
          <w:p>
            <w:pPr>
              <w:pStyle w:val="ITable"/>
            </w:pPr>
            <w:r/>
            <w:r>
              <w:t>0.832 ± 0.011</w:t>
            </w:r>
          </w:p>
        </w:tc>
        <w:tc>
          <w:tcPr>
            <w:tcW w:type="dxa" w:w="2381"/>
          </w:tcPr>
          <w:p>
            <w:pPr>
              <w:pStyle w:val="ITable"/>
            </w:pPr>
            <w:r/>
            <w:r>
              <w:t>0.578</w:t>
            </w:r>
          </w:p>
        </w:tc>
        <w:tc>
          <w:tcPr>
            <w:tcW w:type="dxa" w:w="2381"/>
          </w:tcPr>
          <w:p>
            <w:pPr>
              <w:pStyle w:val="ITable"/>
            </w:pPr>
            <w:r/>
            <w:r>
              <w:t>−0.073</w:t>
            </w:r>
          </w:p>
        </w:tc>
      </w:tr>
    </w:tbl>
    <w:p>
      <w:pPr>
        <w:sectPr>
          <w:type w:val="continuous"/>
          <w:pgSz w:w="11906" w:h="16838"/>
          <w:pgMar w:top="1644" w:right="1077" w:bottom="1134" w:left="1304" w:header="936" w:footer="720"/>
          <w:cols w:num="1" w:space="284"/>
        </w:sectPr>
      </w:pPr>
    </w:p>
    <w:p>
      <w:pPr>
        <w:pStyle w:val="ITex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IFigure"/>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0"/>
                    <a:stretch>
                      <a:fillRect/>
                    </a:stretch>
                  </pic:blipFill>
                  <pic:spPr>
                    <a:xfrm>
                      <a:off x="0" y="0"/>
                      <a:ext cx="2880360" cy="1613002"/>
                    </a:xfrm>
                    <a:prstGeom prst="rect"/>
                  </pic:spPr>
                </pic:pic>
              </a:graphicData>
            </a:graphic>
          </wp:inline>
        </w:drawing>
      </w:r>
    </w:p>
    <w:p>
      <w:pPr>
        <w:pStyle w:val="IFigureCaption"/>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1"/>
                    <a:stretch>
                      <a:fillRect/>
                    </a:stretch>
                  </pic:blipFill>
                  <pic:spPr>
                    <a:xfrm>
                      <a:off x="0" y="0"/>
                      <a:ext cx="5852160" cy="4180114"/>
                    </a:xfrm>
                    <a:prstGeom prst="rect"/>
                  </pic:spPr>
                </pic:pic>
              </a:graphicData>
            </a:graphic>
          </wp:inline>
        </w:drawing>
      </w:r>
    </w:p>
    <w:p>
      <w:pPr>
        <w:pStyle w:val="IFigureCaption"/>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2"/>
                    <a:stretch>
                      <a:fillRect/>
                    </a:stretch>
                  </pic:blipFill>
                  <pic:spPr>
                    <a:xfrm>
                      <a:off x="0" y="0"/>
                      <a:ext cx="2880360" cy="2419502"/>
                    </a:xfrm>
                    <a:prstGeom prst="rect"/>
                  </pic:spPr>
                </pic:pic>
              </a:graphicData>
            </a:graphic>
          </wp:inline>
        </w:drawing>
      </w:r>
    </w:p>
    <w:p>
      <w:pPr>
        <w:pStyle w:val="IFigureCaption"/>
      </w:pPr>
      <w:r>
        <w:rPr>
          <w:b/>
        </w:rPr>
        <w:t xml:space="preserve">Figure 10: </w:t>
      </w:r>
      <w:r>
        <w:t>Confusion matrix of the random-forest fusion model under 5-fold cross-validation on the 300 real-feature sessions.</w:t>
      </w:r>
    </w:p>
    <w:p>
      <w:pPr>
        <w:pStyle w:val="IFigure"/>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3"/>
                    <a:stretch>
                      <a:fillRect/>
                    </a:stretch>
                  </pic:blipFill>
                  <pic:spPr>
                    <a:xfrm>
                      <a:off x="0" y="0"/>
                      <a:ext cx="2880360" cy="1613002"/>
                    </a:xfrm>
                    <a:prstGeom prst="rect"/>
                  </pic:spPr>
                </pic:pic>
              </a:graphicData>
            </a:graphic>
          </wp:inline>
        </w:drawing>
      </w:r>
    </w:p>
    <w:p>
      <w:pPr>
        <w:pStyle w:val="IFigureCaption"/>
      </w:pPr>
      <w:r>
        <w:rPr>
          <w:b/>
        </w:rPr>
        <w:t xml:space="preserve">Figure 11: </w:t>
      </w:r>
      <w:r>
        <w:t>Ablation of the random-forest fusion model: leave-one-modality-out (upper) and single-modality (lower).</w:t>
      </w:r>
    </w:p>
    <w:p>
      <w:pPr>
        <w:pStyle w:val="ISubSectionTitle"/>
      </w:pPr>
      <w:r>
        <w:rPr>
          <w:b/>
        </w:rPr>
        <w:t>Latency, Memory, and Real-Time Feasibility</w:t>
      </w:r>
    </w:p>
    <w:p>
      <w:pPr>
        <w:pStyle w:val="ITex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ITableCaption"/>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Component</w:t>
            </w:r>
          </w:p>
        </w:tc>
        <w:tc>
          <w:tcPr>
            <w:tcW w:type="dxa" w:w="1361"/>
          </w:tcPr>
          <w:p>
            <w:pPr>
              <w:pStyle w:val="ITable"/>
            </w:pPr>
            <w:r/>
            <w:r>
              <w:rPr>
                <w:b/>
              </w:rPr>
              <w:t>Configuration</w:t>
            </w:r>
          </w:p>
        </w:tc>
        <w:tc>
          <w:tcPr>
            <w:tcW w:type="dxa" w:w="1361"/>
          </w:tcPr>
          <w:p>
            <w:pPr>
              <w:pStyle w:val="ITable"/>
            </w:pPr>
            <w:r/>
            <w:r>
              <w:rPr>
                <w:b/>
              </w:rPr>
              <w:t>Mean</w:t>
            </w:r>
          </w:p>
        </w:tc>
        <w:tc>
          <w:tcPr>
            <w:tcW w:type="dxa" w:w="1361"/>
          </w:tcPr>
          <w:p>
            <w:pPr>
              <w:pStyle w:val="ITable"/>
            </w:pPr>
            <w:r/>
            <w:r>
              <w:rPr>
                <w:b/>
              </w:rPr>
              <w:t>SD</w:t>
            </w:r>
          </w:p>
        </w:tc>
        <w:tc>
          <w:tcPr>
            <w:tcW w:type="dxa" w:w="1361"/>
          </w:tcPr>
          <w:p>
            <w:pPr>
              <w:pStyle w:val="ITable"/>
            </w:pPr>
            <w:r/>
            <w:r>
              <w:rPr>
                <w:b/>
              </w:rPr>
              <w:t>Median</w:t>
            </w:r>
          </w:p>
        </w:tc>
        <w:tc>
          <w:tcPr>
            <w:tcW w:type="dxa" w:w="1361"/>
          </w:tcPr>
          <w:p>
            <w:pPr>
              <w:pStyle w:val="ITable"/>
            </w:pPr>
            <w:r/>
            <w:r>
              <w:rPr>
                <w:b/>
              </w:rPr>
              <w:t>p95</w:t>
            </w:r>
          </w:p>
        </w:tc>
        <w:tc>
          <w:tcPr>
            <w:tcW w:type="dxa" w:w="1361"/>
          </w:tcPr>
          <w:p>
            <w:pPr>
              <w:pStyle w:val="ITable"/>
            </w:pPr>
            <w:r/>
            <w:r>
              <w:rPr>
                <w:b/>
              </w:rPr>
              <w:t>p99</w:t>
            </w:r>
          </w:p>
        </w:tc>
      </w:tr>
      <w:tr>
        <w:tc>
          <w:tcPr>
            <w:tcW w:type="dxa" w:w="1361"/>
          </w:tcPr>
          <w:p>
            <w:pPr>
              <w:pStyle w:val="ITable"/>
            </w:pPr>
            <w:r/>
            <w:r>
              <w:t>YOLOv8-s (640×480 frame)</w:t>
            </w:r>
          </w:p>
        </w:tc>
        <w:tc>
          <w:tcPr>
            <w:tcW w:type="dxa" w:w="1361"/>
          </w:tcPr>
          <w:p>
            <w:pPr>
              <w:pStyle w:val="ITable"/>
            </w:pPr>
            <w:r/>
            <w:r>
              <w:t>MPS (GPU)</w:t>
            </w:r>
          </w:p>
        </w:tc>
        <w:tc>
          <w:tcPr>
            <w:tcW w:type="dxa" w:w="1361"/>
          </w:tcPr>
          <w:p>
            <w:pPr>
              <w:pStyle w:val="ITable"/>
            </w:pPr>
            <w:r/>
            <w:r>
              <w:t>37.7</w:t>
            </w:r>
          </w:p>
        </w:tc>
        <w:tc>
          <w:tcPr>
            <w:tcW w:type="dxa" w:w="1361"/>
          </w:tcPr>
          <w:p>
            <w:pPr>
              <w:pStyle w:val="ITable"/>
            </w:pPr>
            <w:r/>
            <w:r>
              <w:t>17.0</w:t>
            </w:r>
          </w:p>
        </w:tc>
        <w:tc>
          <w:tcPr>
            <w:tcW w:type="dxa" w:w="1361"/>
          </w:tcPr>
          <w:p>
            <w:pPr>
              <w:pStyle w:val="ITable"/>
            </w:pPr>
            <w:r/>
            <w:r>
              <w:t>34.4</w:t>
            </w:r>
          </w:p>
        </w:tc>
        <w:tc>
          <w:tcPr>
            <w:tcW w:type="dxa" w:w="1361"/>
          </w:tcPr>
          <w:p>
            <w:pPr>
              <w:pStyle w:val="ITable"/>
            </w:pPr>
            <w:r/>
            <w:r>
              <w:t>44.8</w:t>
            </w:r>
          </w:p>
        </w:tc>
        <w:tc>
          <w:tcPr>
            <w:tcW w:type="dxa" w:w="1361"/>
          </w:tcPr>
          <w:p>
            <w:pPr>
              <w:pStyle w:val="ITable"/>
            </w:pPr>
            <w:r/>
            <w:r>
              <w:t>123.0</w:t>
            </w:r>
          </w:p>
        </w:tc>
      </w:tr>
      <w:tr>
        <w:tc>
          <w:tcPr>
            <w:tcW w:type="dxa" w:w="1361"/>
          </w:tcPr>
          <w:p>
            <w:pPr>
              <w:pStyle w:val="ITable"/>
            </w:pPr>
            <w:r/>
            <w:r>
              <w:t>YOLOv8-s (640×480 frame)</w:t>
            </w:r>
          </w:p>
        </w:tc>
        <w:tc>
          <w:tcPr>
            <w:tcW w:type="dxa" w:w="1361"/>
          </w:tcPr>
          <w:p>
            <w:pPr>
              <w:pStyle w:val="ITable"/>
            </w:pPr>
            <w:r/>
            <w:r>
              <w:t>CPU only</w:t>
            </w:r>
          </w:p>
        </w:tc>
        <w:tc>
          <w:tcPr>
            <w:tcW w:type="dxa" w:w="1361"/>
          </w:tcPr>
          <w:p>
            <w:pPr>
              <w:pStyle w:val="ITable"/>
            </w:pPr>
            <w:r/>
            <w:r>
              <w:t>47.1</w:t>
            </w:r>
          </w:p>
        </w:tc>
        <w:tc>
          <w:tcPr>
            <w:tcW w:type="dxa" w:w="1361"/>
          </w:tcPr>
          <w:p>
            <w:pPr>
              <w:pStyle w:val="ITable"/>
            </w:pPr>
            <w:r/>
            <w:r>
              <w:t>4.9</w:t>
            </w:r>
          </w:p>
        </w:tc>
        <w:tc>
          <w:tcPr>
            <w:tcW w:type="dxa" w:w="1361"/>
          </w:tcPr>
          <w:p>
            <w:pPr>
              <w:pStyle w:val="ITable"/>
            </w:pPr>
            <w:r/>
            <w:r>
              <w:t>47.2</w:t>
            </w:r>
          </w:p>
        </w:tc>
        <w:tc>
          <w:tcPr>
            <w:tcW w:type="dxa" w:w="1361"/>
          </w:tcPr>
          <w:p>
            <w:pPr>
              <w:pStyle w:val="ITable"/>
            </w:pPr>
            <w:r/>
            <w:r>
              <w:t>54.9</w:t>
            </w:r>
          </w:p>
        </w:tc>
        <w:tc>
          <w:tcPr>
            <w:tcW w:type="dxa" w:w="1361"/>
          </w:tcPr>
          <w:p>
            <w:pPr>
              <w:pStyle w:val="ITable"/>
            </w:pPr>
            <w:r/>
            <w:r>
              <w:t>59.4</w:t>
            </w:r>
          </w:p>
        </w:tc>
      </w:tr>
      <w:tr>
        <w:tc>
          <w:tcPr>
            <w:tcW w:type="dxa" w:w="1361"/>
          </w:tcPr>
          <w:p>
            <w:pPr>
              <w:pStyle w:val="ITable"/>
            </w:pPr>
            <w:r/>
            <w:r>
              <w:t>MediaPipe behaviour (per landmark set)</w:t>
            </w:r>
          </w:p>
        </w:tc>
        <w:tc>
          <w:tcPr>
            <w:tcW w:type="dxa" w:w="1361"/>
          </w:tcPr>
          <w:p>
            <w:pPr>
              <w:pStyle w:val="ITable"/>
            </w:pPr>
            <w:r/>
            <w:r>
              <w:t>CPU</w:t>
            </w:r>
          </w:p>
        </w:tc>
        <w:tc>
          <w:tcPr>
            <w:tcW w:type="dxa" w:w="1361"/>
          </w:tcPr>
          <w:p>
            <w:pPr>
              <w:pStyle w:val="ITable"/>
            </w:pPr>
            <w:r/>
            <w:r>
              <w:t>0.027</w:t>
            </w:r>
          </w:p>
        </w:tc>
        <w:tc>
          <w:tcPr>
            <w:tcW w:type="dxa" w:w="1361"/>
          </w:tcPr>
          <w:p>
            <w:pPr>
              <w:pStyle w:val="ITable"/>
            </w:pPr>
            <w:r/>
            <w:r>
              <w:t>0.008</w:t>
            </w:r>
          </w:p>
        </w:tc>
        <w:tc>
          <w:tcPr>
            <w:tcW w:type="dxa" w:w="1361"/>
          </w:tcPr>
          <w:p>
            <w:pPr>
              <w:pStyle w:val="ITable"/>
            </w:pPr>
            <w:r/>
            <w:r>
              <w:t>0.026</w:t>
            </w:r>
          </w:p>
        </w:tc>
        <w:tc>
          <w:tcPr>
            <w:tcW w:type="dxa" w:w="1361"/>
          </w:tcPr>
          <w:p>
            <w:pPr>
              <w:pStyle w:val="ITable"/>
            </w:pPr>
            <w:r/>
            <w:r>
              <w:t>0.032</w:t>
            </w:r>
          </w:p>
        </w:tc>
        <w:tc>
          <w:tcPr>
            <w:tcW w:type="dxa" w:w="1361"/>
          </w:tcPr>
          <w:p>
            <w:pPr>
              <w:pStyle w:val="ITable"/>
            </w:pPr>
            <w:r/>
            <w:r>
              <w:t>0.068</w:t>
            </w:r>
          </w:p>
        </w:tc>
      </w:tr>
      <w:tr>
        <w:tc>
          <w:tcPr>
            <w:tcW w:type="dxa" w:w="1361"/>
          </w:tcPr>
          <w:p>
            <w:pPr>
              <w:pStyle w:val="ITable"/>
            </w:pPr>
            <w:r/>
            <w:r>
              <w:t>Whisper-Base encoder (5-s buffer)</w:t>
            </w:r>
          </w:p>
        </w:tc>
        <w:tc>
          <w:tcPr>
            <w:tcW w:type="dxa" w:w="1361"/>
          </w:tcPr>
          <w:p>
            <w:pPr>
              <w:pStyle w:val="ITable"/>
            </w:pPr>
            <w:r/>
            <w:r>
              <w:t>CPU</w:t>
            </w:r>
          </w:p>
        </w:tc>
        <w:tc>
          <w:tcPr>
            <w:tcW w:type="dxa" w:w="1361"/>
          </w:tcPr>
          <w:p>
            <w:pPr>
              <w:pStyle w:val="ITable"/>
            </w:pPr>
            <w:r/>
            <w:r>
              <w:t>119.3</w:t>
            </w:r>
          </w:p>
        </w:tc>
        <w:tc>
          <w:tcPr>
            <w:tcW w:type="dxa" w:w="1361"/>
          </w:tcPr>
          <w:p>
            <w:pPr>
              <w:pStyle w:val="ITable"/>
            </w:pPr>
            <w:r/>
            <w:r>
              <w:t>12.2</w:t>
            </w:r>
          </w:p>
        </w:tc>
        <w:tc>
          <w:tcPr>
            <w:tcW w:type="dxa" w:w="1361"/>
          </w:tcPr>
          <w:p>
            <w:pPr>
              <w:pStyle w:val="ITable"/>
            </w:pPr>
            <w:r/>
            <w:r>
              <w:t>121.0</w:t>
            </w:r>
          </w:p>
        </w:tc>
        <w:tc>
          <w:tcPr>
            <w:tcW w:type="dxa" w:w="1361"/>
          </w:tcPr>
          <w:p>
            <w:pPr>
              <w:pStyle w:val="ITable"/>
            </w:pPr>
            <w:r/>
            <w:r>
              <w:t>133.6</w:t>
            </w:r>
          </w:p>
        </w:tc>
        <w:tc>
          <w:tcPr>
            <w:tcW w:type="dxa" w:w="1361"/>
          </w:tcPr>
          <w:p>
            <w:pPr>
              <w:pStyle w:val="ITable"/>
            </w:pPr>
            <w:r/>
            <w:r>
              <w:t>139.0</w:t>
            </w:r>
          </w:p>
        </w:tc>
      </w:tr>
      <w:tr>
        <w:tc>
          <w:tcPr>
            <w:tcW w:type="dxa" w:w="1361"/>
          </w:tcPr>
          <w:p>
            <w:pPr>
              <w:pStyle w:val="ITable"/>
            </w:pPr>
            <w:r/>
            <w:r>
              <w:t>Whisper-Base (per-frame equivalent at 5 FPS)</w:t>
            </w:r>
          </w:p>
        </w:tc>
        <w:tc>
          <w:tcPr>
            <w:tcW w:type="dxa" w:w="1361"/>
          </w:tcPr>
          <w:p>
            <w:pPr>
              <w:pStyle w:val="ITable"/>
            </w:pPr>
            <w:r/>
            <w:r>
              <w:t>CPU</w:t>
            </w:r>
          </w:p>
        </w:tc>
        <w:tc>
          <w:tcPr>
            <w:tcW w:type="dxa" w:w="1361"/>
          </w:tcPr>
          <w:p>
            <w:pPr>
              <w:pStyle w:val="ITable"/>
            </w:pPr>
            <w:r/>
            <w:r>
              <w:t>23.9</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t>Fusion (random forest, single event)</w:t>
            </w:r>
          </w:p>
        </w:tc>
        <w:tc>
          <w:tcPr>
            <w:tcW w:type="dxa" w:w="1361"/>
          </w:tcPr>
          <w:p>
            <w:pPr>
              <w:pStyle w:val="ITable"/>
            </w:pPr>
            <w:r/>
            <w:r>
              <w:t>CPU</w:t>
            </w:r>
          </w:p>
        </w:tc>
        <w:tc>
          <w:tcPr>
            <w:tcW w:type="dxa" w:w="1361"/>
          </w:tcPr>
          <w:p>
            <w:pPr>
              <w:pStyle w:val="ITable"/>
            </w:pPr>
            <w:r/>
            <w:r>
              <w:t>4.5</w:t>
            </w:r>
          </w:p>
        </w:tc>
        <w:tc>
          <w:tcPr>
            <w:tcW w:type="dxa" w:w="1361"/>
          </w:tcPr>
          <w:p>
            <w:pPr>
              <w:pStyle w:val="ITable"/>
            </w:pPr>
            <w:r/>
            <w:r>
              <w:t>0.9</w:t>
            </w:r>
          </w:p>
        </w:tc>
        <w:tc>
          <w:tcPr>
            <w:tcW w:type="dxa" w:w="1361"/>
          </w:tcPr>
          <w:p>
            <w:pPr>
              <w:pStyle w:val="ITable"/>
            </w:pPr>
            <w:r/>
            <w:r>
              <w:t>4.3</w:t>
            </w:r>
          </w:p>
        </w:tc>
        <w:tc>
          <w:tcPr>
            <w:tcW w:type="dxa" w:w="1361"/>
          </w:tcPr>
          <w:p>
            <w:pPr>
              <w:pStyle w:val="ITable"/>
            </w:pPr>
            <w:r/>
            <w:r>
              <w:t>5.6</w:t>
            </w:r>
          </w:p>
        </w:tc>
        <w:tc>
          <w:tcPr>
            <w:tcW w:type="dxa" w:w="1361"/>
          </w:tcPr>
          <w:p>
            <w:pPr>
              <w:pStyle w:val="ITable"/>
            </w:pPr>
            <w:r/>
            <w:r>
              <w:t>7.1</w:t>
            </w:r>
          </w:p>
        </w:tc>
      </w:tr>
      <w:tr>
        <w:tc>
          <w:tcPr>
            <w:tcW w:type="dxa" w:w="1361"/>
          </w:tcPr>
          <w:p>
            <w:pPr>
              <w:pStyle w:val="ITable"/>
            </w:pPr>
            <w:r/>
            <w:r>
              <w:rPr>
                <w:b/>
              </w:rPr>
              <w:t>End-to-end frame budget</w:t>
            </w:r>
          </w:p>
        </w:tc>
        <w:tc>
          <w:tcPr>
            <w:tcW w:type="dxa" w:w="1361"/>
          </w:tcPr>
          <w:p>
            <w:pPr>
              <w:pStyle w:val="ITable"/>
            </w:pPr>
            <w:r/>
            <w:r>
              <w:t>MPS</w:t>
            </w:r>
          </w:p>
        </w:tc>
        <w:tc>
          <w:tcPr>
            <w:tcW w:type="dxa" w:w="1361"/>
          </w:tcPr>
          <w:p>
            <w:pPr>
              <w:pStyle w:val="ITable"/>
            </w:pPr>
            <w:r/>
            <w:r>
              <w:rPr>
                <w:b/>
              </w:rPr>
              <w:t>42.2</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End-to-end frame budget</w:t>
            </w:r>
          </w:p>
        </w:tc>
        <w:tc>
          <w:tcPr>
            <w:tcW w:type="dxa" w:w="1361"/>
          </w:tcPr>
          <w:p>
            <w:pPr>
              <w:pStyle w:val="ITable"/>
            </w:pPr>
            <w:r/>
            <w:r>
              <w:t>CPU only</w:t>
            </w:r>
          </w:p>
        </w:tc>
        <w:tc>
          <w:tcPr>
            <w:tcW w:type="dxa" w:w="1361"/>
          </w:tcPr>
          <w:p>
            <w:pPr>
              <w:pStyle w:val="ITable"/>
            </w:pPr>
            <w:r/>
            <w:r>
              <w:rPr>
                <w:b/>
              </w:rPr>
              <w:t>51.6</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MPS</w:t>
            </w:r>
          </w:p>
        </w:tc>
        <w:tc>
          <w:tcPr>
            <w:tcW w:type="dxa" w:w="1361"/>
          </w:tcPr>
          <w:p>
            <w:pPr>
              <w:pStyle w:val="ITable"/>
            </w:pPr>
            <w:r/>
            <w:r>
              <w:rPr>
                <w:b/>
              </w:rPr>
              <w:t>23.7</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CPU only</w:t>
            </w:r>
          </w:p>
        </w:tc>
        <w:tc>
          <w:tcPr>
            <w:tcW w:type="dxa" w:w="1361"/>
          </w:tcPr>
          <w:p>
            <w:pPr>
              <w:pStyle w:val="ITable"/>
            </w:pPr>
            <w:r/>
            <w:r>
              <w:rPr>
                <w:b/>
              </w:rPr>
              <w:t>19.4</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bl>
    <w:p>
      <w:pPr>
        <w:sectPr>
          <w:type w:val="continuous"/>
          <w:pgSz w:w="11906" w:h="16838"/>
          <w:pgMar w:top="1644" w:right="1077" w:bottom="1134" w:left="1304" w:header="936" w:footer="720"/>
          <w:cols w:num="1" w:space="284"/>
        </w:sectPr>
      </w:pPr>
    </w:p>
    <w:p>
      <w:pPr>
        <w:pStyle w:val="ITex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4"/>
                    <a:stretch>
                      <a:fillRect/>
                    </a:stretch>
                  </pic:blipFill>
                  <pic:spPr>
                    <a:xfrm>
                      <a:off x="0" y="0"/>
                      <a:ext cx="5852160" cy="2984602"/>
                    </a:xfrm>
                    <a:prstGeom prst="rect"/>
                  </pic:spPr>
                </pic:pic>
              </a:graphicData>
            </a:graphic>
          </wp:inline>
        </w:drawing>
      </w:r>
    </w:p>
    <w:p>
      <w:pPr>
        <w:pStyle w:val="IFigureCaption"/>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ISubSectionTitle"/>
      </w:pPr>
      <w:r>
        <w:rPr>
          <w:b/>
        </w:rPr>
        <w:t>Robustness</w:t>
      </w:r>
    </w:p>
    <w:p>
      <w:pPr>
        <w:pStyle w:val="ITex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[47].</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5"/>
                    <a:stretch>
                      <a:fillRect/>
                    </a:stretch>
                  </pic:blipFill>
                  <pic:spPr>
                    <a:xfrm>
                      <a:off x="0" y="0"/>
                      <a:ext cx="5852160" cy="1839250"/>
                    </a:xfrm>
                    <a:prstGeom prst="rect"/>
                  </pic:spPr>
                </pic:pic>
              </a:graphicData>
            </a:graphic>
          </wp:inline>
        </w:drawing>
      </w:r>
    </w:p>
    <w:p>
      <w:pPr>
        <w:pStyle w:val="IFigureCaption"/>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ISubSectionTitle"/>
      </w:pPr>
      <w:r>
        <w:rPr>
          <w:b/>
        </w:rPr>
        <w:t>Adversarial Privacy Verification</w:t>
      </w:r>
    </w:p>
    <w:p>
      <w:pPr>
        <w:pStyle w:val="IText"/>
      </w:pPr>
      <w:r>
        <w:t>Figure 14 summarizes the adversarial study. We use 30 real LibriSpeech `dev-clean` speakers as candidates, with 10 utterances per speaker (300 trials in total):</w:t>
      </w:r>
    </w:p>
    <w:p>
      <w:pPr>
        <w:pStyle w:val="IText"/>
      </w:pPr>
      <w:r>
        <w:t xml:space="preserve">• 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IText"/>
      </w:pPr>
      <w:r>
        <w:t xml:space="preserve">• A metadata-only attacker using the same classifier on the event log emitted by the proposed system achieves an AUC of </w:t>
      </w:r>
      <w:r>
        <w:rPr>
          <w:b/>
        </w:rPr>
        <w:t>0.478 ± 0.030</w:t>
      </w:r>
      <w:r>
        <w:t>, statistically indistinguishable from the 0.5 chance level.</w:t>
      </w:r>
    </w:p>
    <w:p>
      <w:pPr>
        <w:pStyle w:val="IText"/>
      </w:pPr>
      <w:r>
        <w:t>This grounds the privacy claim in measurable evidence rather than design assertions, and combined with the absence of biometric template storage and raw-media retention (Section 3) it is a stronger guarantee than the qualitative privacy arguments common in the proctoring literature. We note the metadata-attacker AUC of 0.478 is marginally below 0.5; on 30 candidates this is within sampling noise of chance and should be read as "no better than chance," not as evidence of below-chance performance.</w:t>
      </w:r>
    </w:p>
    <w:p>
      <w:pPr>
        <w:pStyle w:val="IFigure"/>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26"/>
                    <a:stretch>
                      <a:fillRect/>
                    </a:stretch>
                  </pic:blipFill>
                  <pic:spPr>
                    <a:xfrm>
                      <a:off x="0" y="0"/>
                      <a:ext cx="2880360" cy="1861156"/>
                    </a:xfrm>
                    <a:prstGeom prst="rect"/>
                  </pic:spPr>
                </pic:pic>
              </a:graphicData>
            </a:graphic>
          </wp:inline>
        </w:drawing>
      </w:r>
    </w:p>
    <w:p>
      <w:pPr>
        <w:pStyle w:val="IFigureCaption"/>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ISectionTitle"/>
      </w:pPr>
      <w:r>
        <w:rPr>
          <w:b/>
        </w:rPr>
        <w:t>Discussion</w:t>
      </w:r>
    </w:p>
    <w:p>
      <w:pPr>
        <w:pStyle w:val="ISubSectionTitle"/>
      </w:pPr>
      <w:r>
        <w:rPr>
          <w:b/>
        </w:rPr>
        <w:t>Compliance Alignment</w:t>
      </w:r>
    </w:p>
    <w:p>
      <w:pPr>
        <w:pStyle w:val="ITex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ITex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IText"/>
      </w:pPr>
      <w:r>
        <w:t xml:space="preserve">• </w:t>
      </w:r>
      <w:r>
        <w:rPr>
          <w:i/>
        </w:rPr>
        <w:t>GDPR Article 25</w:t>
      </w:r>
      <w:r>
        <w:t>, data protection by design and by default is implemented at the architectural level (no decoder; volatile buffers; metadata-only persistence).</w:t>
      </w:r>
    </w:p>
    <w:p>
      <w:pPr>
        <w:pStyle w:val="ITex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ITex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ISubSectionTitle"/>
      </w:pPr>
      <w:r>
        <w:rPr>
          <w:b/>
        </w:rPr>
        <w:t>Comparison to Prior Systems</w:t>
      </w:r>
    </w:p>
    <w:p>
      <w:pPr>
        <w:pStyle w:val="ITex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ISubSectionTitle"/>
      </w:pPr>
      <w:r>
        <w:rPr>
          <w:b/>
        </w:rPr>
        <w:t>Threats to Validity</w:t>
      </w:r>
    </w:p>
    <w:p>
      <w:pPr>
        <w:pStyle w:val="ITex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ITex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ITex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ITex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ISectionTitle"/>
      </w:pPr>
      <w:r>
        <w:rPr>
          <w:b/>
        </w:rPr>
        <w:t>Limitations and Future Work</w:t>
      </w:r>
    </w:p>
    <w:p>
      <w:pPr>
        <w:pStyle w:val="IText"/>
      </w:pPr>
      <w:r>
        <w:t>The current prototype has five primary limitations:</w:t>
      </w:r>
    </w:p>
    <w:p>
      <w:pPr>
        <w:pStyle w:val="ITex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ITex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ITex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ITex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ITex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IText"/>
      </w:pPr>
      <w:r>
        <w:t>In addition, three research directions follow naturally:</w:t>
      </w:r>
    </w:p>
    <w:p>
      <w:pPr>
        <w:pStyle w:val="IText"/>
      </w:pPr>
      <w:r>
        <w:t>• Differentially private gaze and lip-movement signals to bound information leakage to a configurable ε budget.</w:t>
      </w:r>
    </w:p>
    <w:p>
      <w:pPr>
        <w:pStyle w:val="IText"/>
      </w:pPr>
      <w:r>
        <w:t>• A formal proof of non-invertibility for the Whisper-encoder embedding under our content-free configuration.</w:t>
      </w:r>
    </w:p>
    <w:p>
      <w:pPr>
        <w:pStyle w:val="IText"/>
      </w:pPr>
      <w:r>
        <w:t>• A longitudinal study across at least three Moroccan universities to validate cross-cohort generalisation and gather examiner feedback for the active-learning loop.</w:t>
      </w:r>
    </w:p>
    <w:p>
      <w:pPr>
        <w:pStyle w:val="ISectionTitle"/>
      </w:pPr>
      <w:r>
        <w:rPr>
          <w:b/>
        </w:rPr>
        <w:t>Conclusion</w:t>
      </w:r>
    </w:p>
    <w:p>
      <w:pPr>
        <w:pStyle w:val="ITex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IReferences"/>
      </w:pPr>
      <w:r>
        <w:rPr>
          <w:b/>
        </w:rPr>
        <w:t>Data and Code Availability</w:t>
      </w:r>
    </w:p>
    <w:p>
      <w:pPr>
        <w:pStyle w:val="ITex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IReferences"/>
      </w:pPr>
      <w:r>
        <w:rPr>
          <w:b/>
        </w:rPr>
        <w:t>Acknowledgements</w:t>
      </w:r>
    </w:p>
    <w:p>
      <w:pPr>
        <w:pStyle w:val="ITex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IReferences"/>
      </w:pPr>
      <w:r>
        <w:rPr>
          <w:b/>
        </w:rPr>
        <w:t>References</w:t>
      </w:r>
    </w:p>
    <w:p>
      <w:pPr>
        <w:pStyle w:val="IText"/>
        <w:ind w:left="340" w:hanging="340"/>
      </w:pPr>
      <w:r>
        <w:t xml:space="preserve">[1] S. Coghlan, T. Miller, and J. Paterson, "Good proctor or 'big brother'? Ethics of online exam supervision technologies," </w:t>
      </w:r>
      <w:r>
        <w:rPr>
          <w:i/>
        </w:rPr>
        <w:t>Philosophy &amp; Technology</w:t>
      </w:r>
      <w:r>
        <w:t>, vol. 34, no. 4, pp. 1581–1606, 2021, doi: 10.1007/s13347-021-00476-1.</w:t>
      </w:r>
    </w:p>
    <w:p>
      <w:pPr>
        <w:pStyle w:val="IText"/>
        <w:ind w:left="340" w:hanging="340"/>
      </w:pPr>
      <w:r>
        <w:t xml:space="preserve">[2] N. Selwyn, C. O'Neill, G. Smith, M. Andrejevic, and X. Gu, "A necessary evil? The rise of online exam proctoring in Australian universities," </w:t>
      </w:r>
      <w:r>
        <w:rPr>
          <w:i/>
        </w:rPr>
        <w:t>Media International Australia</w:t>
      </w:r>
      <w:r>
        <w:t>, vol. 186, no. 1, pp. 149–164, 2023, doi: 10.1177/1329878X211005862.</w:t>
      </w:r>
    </w:p>
    <w:p>
      <w:pPr>
        <w:pStyle w:val="IText"/>
        <w:ind w:left="340" w:hanging="340"/>
      </w:pPr>
      <w:r>
        <w:t xml:space="preserve">[3] 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IText"/>
        <w:ind w:left="340" w:hanging="340"/>
      </w:pPr>
      <w:r>
        <w:t xml:space="preserve">[4] 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IText"/>
        <w:ind w:left="340" w:hanging="340"/>
      </w:pPr>
      <w:r>
        <w:t xml:space="preserve">[5] Royaume du Maroc, </w:t>
      </w:r>
      <w:r>
        <w:rPr>
          <w:i/>
        </w:rPr>
        <w:t>Loi n° 09-08 relative à la protection des personnes physiques à l'égard du traitement des données à caractère personnel</w:t>
      </w:r>
      <w:r>
        <w:t>, Bulletin Officiel n°5714, 2009.</w:t>
      </w:r>
    </w:p>
    <w:p>
      <w:pPr>
        <w:pStyle w:val="IText"/>
        <w:ind w:left="340" w:hanging="340"/>
      </w:pPr>
      <w:r>
        <w:t>[6] Commission Nationale de Contrôle de la Protection des Données à Caractère Personnel (CNDP), "Conditions et obligations du responsable de traitement au titre de la loi 09-08," CNDP, Rabat, Morocco, guidance note, 2022.</w:t>
      </w:r>
    </w:p>
    <w:p>
      <w:pPr>
        <w:pStyle w:val="IText"/>
        <w:ind w:left="340" w:hanging="340"/>
      </w:pPr>
      <w:r>
        <w:t>[7] European Data Protection Board, "Guidelines 05/2020 on consent under Regulation 2016/679," May 2020.</w:t>
      </w:r>
    </w:p>
    <w:p>
      <w:pPr>
        <w:pStyle w:val="IText"/>
        <w:ind w:left="340" w:hanging="340"/>
      </w:pPr>
      <w:r>
        <w:t xml:space="preserve">[8] Y. Atoum, L. Chen, A. X. Liu, S. D. H. Hsu, and X. Liu, "Automated online exam proctoring," </w:t>
      </w:r>
      <w:r>
        <w:rPr>
          <w:i/>
        </w:rPr>
        <w:t>IEEE Transactions on Multimedia</w:t>
      </w:r>
      <w:r>
        <w:t>, vol. 19, no. 7, pp. 1609–1624, 2017, doi: 10.1109/TMM.2017.2656064.</w:t>
      </w:r>
    </w:p>
    <w:p>
      <w:pPr>
        <w:pStyle w:val="IText"/>
        <w:ind w:left="340" w:hanging="340"/>
      </w:pPr>
      <w:r>
        <w:t xml:space="preserve">[9] A. Nigam, R. Pasricha, T. Singh, and P. Churi, "A systematic review on AI-based proctoring systems: past, present and future," </w:t>
      </w:r>
      <w:r>
        <w:rPr>
          <w:i/>
        </w:rPr>
        <w:t>Education and Information Technologies</w:t>
      </w:r>
      <w:r>
        <w:t>, vol. 26, no. 5, pp. 6421–6445, 2021, doi: 10.1007/s10639-021-10597-x.</w:t>
      </w:r>
    </w:p>
    <w:p>
      <w:pPr>
        <w:pStyle w:val="IText"/>
        <w:ind w:left="340" w:hanging="340"/>
      </w:pPr>
      <w:r>
        <w:t xml:space="preserve">[10] 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IText"/>
        <w:ind w:left="340" w:hanging="340"/>
      </w:pPr>
      <w:r>
        <w:t xml:space="preserve">[11] V. A. S. Vishal, V. M. Vishal, M. Muthuvel, and E. Vijayaram, "AI-based proctoring system for cheating prevention in online exams," </w:t>
      </w:r>
      <w:r>
        <w:rPr>
          <w:i/>
        </w:rPr>
        <w:t>International Research Journal of Education and Technology</w:t>
      </w:r>
      <w:r>
        <w:t>, vol. 7, no. 3, pp. 1636–1645, Mar. 2025.</w:t>
      </w:r>
    </w:p>
    <w:p>
      <w:pPr>
        <w:pStyle w:val="IText"/>
        <w:ind w:left="340" w:hanging="340"/>
      </w:pPr>
      <w:r>
        <w:t xml:space="preserve">[12] M. M. Masud, K. Hayawi, S. S. Mathew, T. Michael, and M. E. Barachi, "Smart online exam proctoring assist for cheating detection," in </w:t>
      </w:r>
      <w:r>
        <w:rPr>
          <w:i/>
        </w:rPr>
        <w:t>Advanced Data Mining and Applications (ADMA 2021)</w:t>
      </w:r>
      <w:r>
        <w:t>, vol. 13088 of LNAI, Cham: Springer, 2022, pp. 118–132, doi: 10.1007/978-3-030-95405-5_9.</w:t>
      </w:r>
    </w:p>
    <w:p>
      <w:pPr>
        <w:pStyle w:val="IText"/>
        <w:ind w:left="340" w:hanging="340"/>
      </w:pPr>
      <w:r>
        <w:t>[13] G. Jocher, A. Chaurasia, and J. Qiu, "Ultralytics YOLOv8," Ultralytics, software documentation, 2023. [Online]. Available: https://docs.ultralytics.com/</w:t>
      </w:r>
    </w:p>
    <w:p>
      <w:pPr>
        <w:pStyle w:val="IText"/>
        <w:ind w:left="340" w:hanging="340"/>
      </w:pPr>
      <w:r>
        <w:t xml:space="preserve">[14] 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IText"/>
        <w:ind w:left="340" w:hanging="340"/>
      </w:pPr>
      <w:r>
        <w:t xml:space="preserve">[15] 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IText"/>
        <w:ind w:left="340" w:hanging="340"/>
      </w:pPr>
      <w:r>
        <w:t xml:space="preserve">[16] A. Radford, J. W. Kim, T. Xu, G. Brockman, C. McLeavey, and I. Sutskever, "Robust speech recognition via large-scale weak supervision," in </w:t>
      </w:r>
      <w:r>
        <w:rPr>
          <w:i/>
        </w:rPr>
        <w:t>Proc. 40th International Conference on Machine Learning (ICML)</w:t>
      </w:r>
      <w:r>
        <w:t>, PMLR vol. 202, 2023, pp. 28492–28518.</w:t>
      </w:r>
    </w:p>
    <w:p>
      <w:pPr>
        <w:pStyle w:val="IText"/>
        <w:ind w:left="340" w:hanging="340"/>
      </w:pPr>
      <w:r>
        <w:t xml:space="preserve">[17] V. Panayotov, G. Chen, D. Povey, and S. Khudanpur, "LibriSpeech: an ASR corpus based on public domain audio books," in </w:t>
      </w:r>
      <w:r>
        <w:rPr>
          <w:i/>
        </w:rPr>
        <w:t>Proc. ICASSP</w:t>
      </w:r>
      <w:r>
        <w:t>, 2015, pp. 5206–5210, doi: 10.1109/ICASSP.2015.7178964.</w:t>
      </w:r>
    </w:p>
    <w:p>
      <w:pPr>
        <w:pStyle w:val="IText"/>
        <w:ind w:left="340" w:hanging="340"/>
      </w:pPr>
      <w:r>
        <w:t xml:space="preserve">[18] 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IText"/>
        <w:ind w:left="340" w:hanging="340"/>
      </w:pPr>
      <w:r>
        <w:t xml:space="preserve">[19] J. S. Chung, A. Nagrani, and A. Zisserman, "VoxCeleb2: deep speaker recognition," in </w:t>
      </w:r>
      <w:r>
        <w:rPr>
          <w:i/>
        </w:rPr>
        <w:t>Proc. Interspeech</w:t>
      </w:r>
      <w:r>
        <w:t>, 2018, pp. 1086–1090.</w:t>
      </w:r>
    </w:p>
    <w:p>
      <w:pPr>
        <w:pStyle w:val="IText"/>
        <w:ind w:left="340" w:hanging="340"/>
      </w:pPr>
      <w:r>
        <w:t xml:space="preserve">[20] J. Jung, H.-S. Heo, Y. Kwon, J. S. Chung, and B.-J. Lee, "Three-class overlapped speech detection using a convolutional recurrent neural network," in </w:t>
      </w:r>
      <w:r>
        <w:rPr>
          <w:i/>
        </w:rPr>
        <w:t>Proc. Interspeech</w:t>
      </w:r>
      <w:r>
        <w:t>, 2021. arXiv:2104.02878.</w:t>
      </w:r>
    </w:p>
    <w:p>
      <w:pPr>
        <w:pStyle w:val="IText"/>
        <w:ind w:left="340" w:hanging="340"/>
      </w:pPr>
      <w:r>
        <w:t xml:space="preserve">[21] D. Snyder, D. Garcia-Romero, G. Sell, D. Povey, and S. Khudanpur, "X-vectors: robust DNN embeddings for speaker recognition," in </w:t>
      </w:r>
      <w:r>
        <w:rPr>
          <w:i/>
        </w:rPr>
        <w:t>Proc. ICASSP</w:t>
      </w:r>
      <w:r>
        <w:t>, 2018, pp. 5329–5333, doi: 10.1109/ICASSP.2018.8461375.</w:t>
      </w:r>
    </w:p>
    <w:p>
      <w:pPr>
        <w:pStyle w:val="IText"/>
        <w:ind w:left="340" w:hanging="340"/>
      </w:pPr>
      <w:r>
        <w:t xml:space="preserve">[22] 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IText"/>
        <w:ind w:left="340" w:hanging="340"/>
      </w:pPr>
      <w:r>
        <w:t xml:space="preserve">[23] J. S. Chung and A. Zisserman, "Lip reading in the wild," in </w:t>
      </w:r>
      <w:r>
        <w:rPr>
          <w:i/>
        </w:rPr>
        <w:t>Proc. Asian Conference on Computer Vision (ACCV)</w:t>
      </w:r>
      <w:r>
        <w:t>, LNCS vol. 10112, Springer, 2016, pp. 87–103, doi: 10.1007/978-3-319-54184-6_6.</w:t>
      </w:r>
    </w:p>
    <w:p>
      <w:pPr>
        <w:pStyle w:val="IText"/>
        <w:ind w:left="340" w:hanging="340"/>
      </w:pPr>
      <w:r>
        <w:t xml:space="preserve">[24] C. Dwork and A. Roth, "The algorithmic foundations of differential privacy," </w:t>
      </w:r>
      <w:r>
        <w:rPr>
          <w:i/>
        </w:rPr>
        <w:t>Foundations and Trends in Theoretical Computer Science</w:t>
      </w:r>
      <w:r>
        <w:t>, vol. 9, nos. 3–4, pp. 211–407, 2014, doi: 10.1561/0400000042.</w:t>
      </w:r>
    </w:p>
    <w:p>
      <w:pPr>
        <w:pStyle w:val="IText"/>
        <w:ind w:left="340" w:hanging="340"/>
      </w:pPr>
      <w:r>
        <w:t xml:space="preserve">[25] 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IText"/>
        <w:ind w:left="340" w:hanging="340"/>
      </w:pPr>
      <w:r>
        <w:t xml:space="preserve">[26] 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IText"/>
        <w:ind w:left="340" w:hanging="340"/>
      </w:pPr>
      <w:r>
        <w:t xml:space="preserve">[27] L. Du, J. Jia, X. Zhang, and G. Lan, "PrivateGaze: preserving user privacy in black-box mobile gaze tracking services," </w:t>
      </w:r>
      <w:r>
        <w:rPr>
          <w:i/>
        </w:rPr>
        <w:t>Proceedings of the ACM on Interactive, Mobile, Wearable and Ubiquitous Technologies (IMWUT)</w:t>
      </w:r>
      <w:r>
        <w:t>, vol. 8, no. 3, art. 102, 2024, doi: 10.1145/3678595.</w:t>
      </w:r>
    </w:p>
    <w:p>
      <w:pPr>
        <w:pStyle w:val="IText"/>
        <w:ind w:left="340" w:hanging="340"/>
      </w:pPr>
      <w:r>
        <w:t xml:space="preserve">[28] E. Bozkir, O. Günlü, W. Fuhl, R. F. Schaefer, and E. Kasneci, "Differential privacy for eye tracking with temporal correlations," </w:t>
      </w:r>
      <w:r>
        <w:rPr>
          <w:i/>
        </w:rPr>
        <w:t>PLOS ONE</w:t>
      </w:r>
      <w:r>
        <w:t>, vol. 16, no. 8, p. e0255979, 2021, doi: 10.1371/journal.pone.0255979.</w:t>
      </w:r>
    </w:p>
    <w:p>
      <w:pPr>
        <w:pStyle w:val="IText"/>
        <w:ind w:left="340" w:hanging="340"/>
      </w:pPr>
      <w:r>
        <w:t xml:space="preserve">[29] J. Steil, I. Hagestedt, M. X. Huang, and A. Bulling, "Privacy-aware eye tracking using differential privacy," in </w:t>
      </w:r>
      <w:r>
        <w:rPr>
          <w:i/>
        </w:rPr>
        <w:t>Proc. 11th ACM Symposium on Eye Tracking Research and Applications (ETRA)</w:t>
      </w:r>
      <w:r>
        <w:t>, 2019, art. 27, pp. 1–9, doi: 10.1145/3314111.3319915.</w:t>
      </w:r>
    </w:p>
    <w:p>
      <w:pPr>
        <w:pStyle w:val="IText"/>
        <w:ind w:left="340" w:hanging="340"/>
      </w:pPr>
      <w:r>
        <w:t xml:space="preserve">[30] H. Crawford, K. Renaud, and T. Storer, "A framework for continuous, transparent mobile device authentication," </w:t>
      </w:r>
      <w:r>
        <w:rPr>
          <w:i/>
        </w:rPr>
        <w:t>Computers &amp; Security</w:t>
      </w:r>
      <w:r>
        <w:t>, vol. 39, part B, pp. 127–136, 2013, doi: 10.1016/j.cose.2013.05.005.</w:t>
      </w:r>
    </w:p>
    <w:p>
      <w:pPr>
        <w:pStyle w:val="IText"/>
        <w:ind w:left="340" w:hanging="340"/>
      </w:pPr>
      <w:r>
        <w:t xml:space="preserve">[31] N. Sae-Bae, K. Ahmed, K. Isbister, and N. Memon, "Biometric-rich gestures: a novel approach to authentication on multi-touch devices," in </w:t>
      </w:r>
      <w:r>
        <w:rPr>
          <w:i/>
        </w:rPr>
        <w:t>Proc. ACM CHI Conference</w:t>
      </w:r>
      <w:r>
        <w:t>, 2012, pp. 977–986, doi: 10.1145/2207676.2208543.</w:t>
      </w:r>
    </w:p>
    <w:p>
      <w:pPr>
        <w:pStyle w:val="IText"/>
        <w:ind w:left="340" w:hanging="340"/>
      </w:pPr>
      <w:r>
        <w:t>[32] Tribunal administratif de Montreuil, decision no. 2216571 (Univ. Paris 8 / TestWe e-proctoring), 20 September 2023. [Online]. Available: https://www.dalloz.fr/</w:t>
      </w:r>
    </w:p>
    <w:p>
      <w:pPr>
        <w:pStyle w:val="IText"/>
        <w:ind w:left="340" w:hanging="340"/>
      </w:pPr>
      <w:r>
        <w:t xml:space="preserve">[33] J. Redmon, S. Divvala, R. Girshick, and A. Farhadi, "You only look once: unified, real-time object detection," in </w:t>
      </w:r>
      <w:r>
        <w:rPr>
          <w:i/>
        </w:rPr>
        <w:t>Proc. IEEE CVPR</w:t>
      </w:r>
      <w:r>
        <w:t>, 2016, pp. 779–788, doi: 10.1109/CVPR.2016.91.</w:t>
      </w:r>
    </w:p>
    <w:p>
      <w:pPr>
        <w:pStyle w:val="IText"/>
        <w:ind w:left="340" w:hanging="340"/>
      </w:pPr>
      <w:r>
        <w:t xml:space="preserve">[34] J. Redmon and A. Farhadi, "YOLOv3: an incremental improvement," </w:t>
      </w:r>
      <w:r>
        <w:rPr>
          <w:i/>
        </w:rPr>
        <w:t>arXiv preprint</w:t>
      </w:r>
      <w:r>
        <w:t>, arXiv:1804.02767, 2018.</w:t>
      </w:r>
    </w:p>
    <w:p>
      <w:pPr>
        <w:pStyle w:val="IText"/>
        <w:ind w:left="340" w:hanging="340"/>
      </w:pPr>
      <w:r>
        <w:t xml:space="preserve">[35] Y. Kortli, M. Jridi, A. Al Falou, and M. Atri, "Face recognition systems: a survey," </w:t>
      </w:r>
      <w:r>
        <w:rPr>
          <w:i/>
        </w:rPr>
        <w:t>Sensors</w:t>
      </w:r>
      <w:r>
        <w:t>, vol. 20, no. 2, p. 342, 2020, doi: 10.3390/s20020342.</w:t>
      </w:r>
    </w:p>
    <w:p>
      <w:pPr>
        <w:pStyle w:val="IText"/>
        <w:ind w:left="340" w:hanging="340"/>
      </w:pPr>
      <w:r>
        <w:t xml:space="preserve">[36] T.-Y. Kim, H. Ko, S.-H. Kim, and H.-D. Kim, "Modelling of advanced driver assistance systems, pedestrian detection from camera images for ADAS," </w:t>
      </w:r>
      <w:r>
        <w:rPr>
          <w:i/>
        </w:rPr>
        <w:t>Sensors</w:t>
      </w:r>
      <w:r>
        <w:t>, vol. 20, no. 11, p. 3122, 2020, doi: 10.3390/s20113122.</w:t>
      </w:r>
    </w:p>
    <w:p>
      <w:pPr>
        <w:pStyle w:val="IText"/>
        <w:ind w:left="340" w:hanging="340"/>
      </w:pPr>
      <w:r>
        <w:t xml:space="preserve">[37] A. Narayanan and V. Shmatikov, "Robust de-anonymization of large sparse datasets," in </w:t>
      </w:r>
      <w:r>
        <w:rPr>
          <w:i/>
        </w:rPr>
        <w:t>Proc. 2008 IEEE Symposium on Security and Privacy (S&amp;P)</w:t>
      </w:r>
      <w:r>
        <w:t>, 2008, pp. 111–125, doi: 10.1109/SP.2008.33.</w:t>
      </w:r>
    </w:p>
    <w:p>
      <w:pPr>
        <w:pStyle w:val="IText"/>
        <w:ind w:left="340" w:hanging="340"/>
      </w:pPr>
      <w:r>
        <w:t xml:space="preserve">[38] L. Sweeney, "k-Anonymity: a model for protecting privacy," </w:t>
      </w:r>
      <w:r>
        <w:rPr>
          <w:i/>
        </w:rPr>
        <w:t>International Journal of Uncertainty, Fuzziness and Knowledge-Based Systems</w:t>
      </w:r>
      <w:r>
        <w:t>, vol. 10, no. 5, pp. 557–570, 2002, doi: 10.1142/S0218488502001648.</w:t>
      </w:r>
    </w:p>
    <w:p>
      <w:pPr>
        <w:pStyle w:val="IText"/>
        <w:ind w:left="340" w:hanging="340"/>
      </w:pPr>
      <w:r>
        <w:t xml:space="preserve">[39] C. Dwork, F. McSherry, K. Nissim, and A. Smith, "Calibrating noise to sensitivity in private data analysis," in </w:t>
      </w:r>
      <w:r>
        <w:rPr>
          <w:i/>
        </w:rPr>
        <w:t>Proc. Theory of Cryptography Conference (TCC)</w:t>
      </w:r>
      <w:r>
        <w:t>, LNCS vol. 3876, Springer, 2006, pp. 265–284, doi: 10.1007/11681878_14.</w:t>
      </w:r>
    </w:p>
    <w:p>
      <w:pPr>
        <w:pStyle w:val="IText"/>
        <w:ind w:left="340" w:hanging="340"/>
      </w:pPr>
      <w:r>
        <w:t xml:space="preserve">[40] G. Bradski, "The OpenCV library," </w:t>
      </w:r>
      <w:r>
        <w:rPr>
          <w:i/>
        </w:rPr>
        <w:t>Dr. Dobb's Journal of Software Tools</w:t>
      </w:r>
      <w:r>
        <w:t>, vol. 25, no. 11, pp. 120–125, 2000.</w:t>
      </w:r>
    </w:p>
    <w:p>
      <w:pPr>
        <w:pStyle w:val="IText"/>
        <w:ind w:left="340" w:hanging="340"/>
      </w:pPr>
      <w:r>
        <w:t xml:space="preserve">[41] A. Paszke, S. Gross, F. Massa, A. Lerer, J. Bradbury, G. Chanan, et al., "PyTorch: an imperative style, high-performance deep learning library," in </w:t>
      </w:r>
      <w:r>
        <w:rPr>
          <w:i/>
        </w:rPr>
        <w:t>Advances in Neural Information Processing Systems (NeurIPS)</w:t>
      </w:r>
      <w:r>
        <w:t>, 2019, pp. 8024–8035.</w:t>
      </w:r>
    </w:p>
    <w:p>
      <w:pPr>
        <w:pStyle w:val="IText"/>
        <w:ind w:left="340" w:hanging="340"/>
      </w:pPr>
      <w:r>
        <w:t xml:space="preserve">[42] F. Pedregosa, G. Varoquaux, A. Gramfort, V. Michel, B. Thirion, et al., "Scikit-learn: machine learning in Python," </w:t>
      </w:r>
      <w:r>
        <w:rPr>
          <w:i/>
        </w:rPr>
        <w:t>Journal of Machine Learning Research</w:t>
      </w:r>
      <w:r>
        <w:t>, vol. 12, pp. 2825–2830, 2011.</w:t>
      </w:r>
    </w:p>
    <w:p>
      <w:pPr>
        <w:pStyle w:val="IText"/>
        <w:ind w:left="340" w:hanging="340"/>
      </w:pPr>
      <w:r>
        <w:t xml:space="preserve">[43] L. Breiman, "Random forests," </w:t>
      </w:r>
      <w:r>
        <w:rPr>
          <w:i/>
        </w:rPr>
        <w:t>Machine Learning</w:t>
      </w:r>
      <w:r>
        <w:t>, vol. 45, no. 1, pp. 5–32, 2001, doi: 10.1023/A:1010933404324.</w:t>
      </w:r>
    </w:p>
    <w:p>
      <w:pPr>
        <w:pStyle w:val="IText"/>
        <w:ind w:left="340" w:hanging="340"/>
      </w:pPr>
      <w:r>
        <w:t xml:space="preserve">[44] B. Efron and R. Tibshirani, </w:t>
      </w:r>
      <w:r>
        <w:rPr>
          <w:i/>
        </w:rPr>
        <w:t>An Introduction to the Bootstrap</w:t>
      </w:r>
      <w:r>
        <w:t>. New York, NY, USA: Chapman &amp; Hall/CRC, 1993.</w:t>
      </w:r>
    </w:p>
    <w:p>
      <w:pPr>
        <w:pStyle w:val="IText"/>
        <w:ind w:left="340" w:hanging="340"/>
      </w:pPr>
      <w:r>
        <w:t xml:space="preserve">[45] Q. McNemar, "Note on the sampling error of the difference between correlated proportions or percentages," </w:t>
      </w:r>
      <w:r>
        <w:rPr>
          <w:i/>
        </w:rPr>
        <w:t>Psychometrika</w:t>
      </w:r>
      <w:r>
        <w:t>, vol. 12, no. 2, pp. 153–157, 1947, doi: 10.1007/BF02295996.</w:t>
      </w:r>
    </w:p>
    <w:p>
      <w:pPr>
        <w:pStyle w:val="IText"/>
        <w:ind w:left="340" w:hanging="340"/>
      </w:pPr>
      <w:r>
        <w:t xml:space="preserve">[46] T. Fawcett, "An introduction to ROC analysis," </w:t>
      </w:r>
      <w:r>
        <w:rPr>
          <w:i/>
        </w:rPr>
        <w:t>Pattern Recognition Letters</w:t>
      </w:r>
      <w:r>
        <w:t>, vol. 27, no. 8, pp. 861–874, 2006, doi: 10.1016/j.patrec.2005.10.010.</w:t>
      </w:r>
    </w:p>
    <w:p>
      <w:pPr>
        <w:pStyle w:val="IText"/>
        <w:ind w:left="340" w:hanging="340"/>
      </w:pPr>
      <w:r>
        <w:t xml:space="preserve">[47] J. Davis and M. Goadrich, "The relationship between precision-recall and ROC curves," in </w:t>
      </w:r>
      <w:r>
        <w:rPr>
          <w:i/>
        </w:rPr>
        <w:t>Proc. 23rd International Conference on Machine Learning (ICML)</w:t>
      </w:r>
      <w:r>
        <w:t>, 2006, pp. 233–240, doi: 10.1145/1143844.1143874.</w:t>
      </w:r>
    </w:p>
    <w:p>
      <w:pPr>
        <w:pStyle w:val="IText"/>
        <w:ind w:left="340" w:hanging="340"/>
      </w:pPr>
      <w:r>
        <w:t xml:space="preserve">[48] J. Bergstra and Y. Bengio, "Random search for hyper-parameter optimization," </w:t>
      </w:r>
      <w:r>
        <w:rPr>
          <w:i/>
        </w:rPr>
        <w:t>Journal of Machine Learning Research</w:t>
      </w:r>
      <w:r>
        <w:t>, vol. 13, pp. 281–305, 2012.</w:t>
      </w:r>
    </w:p>
    <w:p>
      <w:pPr>
        <w:pStyle w:val="IText"/>
        <w:ind w:left="340" w:hanging="340"/>
      </w:pPr>
      <w:r>
        <w:t>[49] C. Lugaresi and others, "Face Mesh, MediaPipe Solutions," Google Inc., software documentation, 2023. [Online]. Available: https://google.github.io/mediapipe/solutions/face_mesh</w:t>
      </w:r>
    </w:p>
    <w:p>
      <w:pPr>
        <w:pStyle w:val="IText"/>
        <w:ind w:left="340" w:hanging="340"/>
      </w:pPr>
      <w:r>
        <w:t xml:space="preserve">[50] H. Caesar, J. Uijlings, and V. Ferrari, "COCO-Stuff: thing and stuff classes in context," in </w:t>
      </w:r>
      <w:r>
        <w:rPr>
          <w:i/>
        </w:rPr>
        <w:t>Proc. IEEE CVPR</w:t>
      </w:r>
      <w:r>
        <w:t>, 2018, pp. 1209–1218, doi: 10.1109/CVPR.2018.00132.</w:t>
      </w:r>
    </w:p>
    <w:sectPr w:rsidR="00421166">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406D3" w14:textId="77777777" w:rsidR="00FF08FC" w:rsidRDefault="00FF08FC">
      <w:r>
        <w:separator/>
      </w:r>
    </w:p>
    <w:p w14:paraId="34A6A2F9" w14:textId="77777777" w:rsidR="00FF08FC" w:rsidRDefault="00FF08FC"/>
  </w:endnote>
  <w:endnote w:type="continuationSeparator" w:id="0">
    <w:p w14:paraId="24ACDAF2" w14:textId="77777777" w:rsidR="00FF08FC" w:rsidRDefault="00FF08FC">
      <w:r>
        <w:continuationSeparator/>
      </w:r>
    </w:p>
    <w:p w14:paraId="165832AF" w14:textId="77777777" w:rsidR="00FF08FC" w:rsidRDefault="00FF08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926D9" w14:textId="77777777" w:rsidR="00FF08FC" w:rsidRDefault="00FF08FC">
      <w:r>
        <w:separator/>
      </w:r>
    </w:p>
    <w:p w14:paraId="78442493" w14:textId="77777777" w:rsidR="00FF08FC" w:rsidRDefault="00FF08FC"/>
  </w:footnote>
  <w:footnote w:type="continuationSeparator" w:id="0">
    <w:p w14:paraId="42F5EFE1" w14:textId="77777777" w:rsidR="00FF08FC" w:rsidRDefault="00FF08FC">
      <w:r>
        <w:continuationSeparator/>
      </w:r>
    </w:p>
    <w:p w14:paraId="700064CD" w14:textId="77777777" w:rsidR="00FF08FC" w:rsidRDefault="00FF08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5D077" w14:textId="77777777" w:rsidR="009217B0" w:rsidRDefault="009217B0">
    <w:pPr>
      <w:pStyle w:val="Glava"/>
      <w:tabs>
        <w:tab w:val="left" w:pos="567"/>
      </w:tabs>
    </w:pPr>
    <w:r>
      <w:rPr>
        <w:rStyle w:val="tevilkastrani"/>
      </w:rPr>
      <w:fldChar w:fldCharType="begin"/>
    </w:r>
    <w:r>
      <w:rPr>
        <w:rStyle w:val="tevilkastrani"/>
      </w:rPr>
      <w:instrText xml:space="preserve"> PAGE </w:instrText>
    </w:r>
    <w:r>
      <w:rPr>
        <w:rStyle w:val="tevilkastrani"/>
      </w:rPr>
      <w:fldChar w:fldCharType="separate"/>
    </w:r>
    <w:r>
      <w:rPr>
        <w:rStyle w:val="tevilkastrani"/>
        <w:noProof/>
      </w:rPr>
      <w:t>2</w:t>
    </w:r>
    <w:r>
      <w:rPr>
        <w:rStyle w:val="tevilkastrani"/>
      </w:rPr>
      <w:fldChar w:fldCharType="end"/>
    </w:r>
    <w:r>
      <w:rPr>
        <w:rStyle w:val="tevilkastrani"/>
      </w:rPr>
      <w:tab/>
      <w:t>Informatica 23 (1999) xxx–</w:t>
    </w:r>
    <w:proofErr w:type="spellStart"/>
    <w:r>
      <w:rPr>
        <w:rStyle w:val="tevilkastrani"/>
      </w:rPr>
      <w:t>yyy</w:t>
    </w:r>
    <w:proofErr w:type="spellEnd"/>
    <w:r>
      <w:rPr>
        <w:rStyle w:val="tevilkastrani"/>
      </w:rPr>
      <w:tab/>
    </w:r>
    <w:r>
      <w:rPr>
        <w:rStyle w:val="tevilkastrani"/>
      </w:rPr>
      <w:tab/>
    </w:r>
    <w:r>
      <w:rPr>
        <w:rStyle w:val="tevilkastrani"/>
      </w:rPr>
      <w:fldChar w:fldCharType="begin"/>
    </w:r>
    <w:r>
      <w:rPr>
        <w:rStyle w:val="tevilkastrani"/>
      </w:rPr>
      <w:instrText xml:space="preserve"> AUTHOR  \* MERGEFORMAT </w:instrText>
    </w:r>
    <w:r>
      <w:rPr>
        <w:rStyle w:val="tevilkastrani"/>
      </w:rPr>
      <w:fldChar w:fldCharType="separate"/>
    </w:r>
    <w:r w:rsidR="001E6769">
      <w:rPr>
        <w:rStyle w:val="tevilkastrani"/>
        <w:noProof/>
      </w:rPr>
      <w:t>Borut</w:t>
    </w:r>
    <w:r>
      <w:rPr>
        <w:rStyle w:val="tevilkastran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496" w14:textId="3987420E" w:rsidR="009217B0" w:rsidRDefault="009217B0" w:rsidP="00572FC4">
    <w:pPr>
      <w:pStyle w:val="Glava"/>
      <w:tabs>
        <w:tab w:val="clear" w:pos="4153"/>
        <w:tab w:val="clear" w:pos="8306"/>
        <w:tab w:val="left" w:pos="0"/>
        <w:tab w:val="right" w:pos="9072"/>
        <w:tab w:val="right" w:pos="9498"/>
      </w:tabs>
    </w:pPr>
    <w:r w:rsidRPr="00572FC4">
      <w:rPr>
        <w:rStyle w:val="tevilkastrani"/>
        <w:sz w:val="18"/>
        <w:szCs w:val="18"/>
      </w:rPr>
      <w:fldChar w:fldCharType="begin"/>
    </w:r>
    <w:r w:rsidRPr="00572FC4">
      <w:rPr>
        <w:rStyle w:val="tevilkastrani"/>
        <w:sz w:val="18"/>
        <w:szCs w:val="18"/>
      </w:rPr>
      <w:instrText xml:space="preserve"> TITLE  \* MERGEFORMAT </w:instrText>
    </w:r>
    <w:r w:rsidRPr="00572FC4">
      <w:rPr>
        <w:rStyle w:val="tevilkastrani"/>
        <w:sz w:val="18"/>
        <w:szCs w:val="18"/>
      </w:rPr>
      <w:fldChar w:fldCharType="separate"/>
    </w:r>
    <w:r w:rsidR="001E6769" w:rsidRPr="00572FC4">
      <w:rPr>
        <w:rStyle w:val="tevilkastrani"/>
        <w:sz w:val="18"/>
        <w:szCs w:val="18"/>
      </w:rPr>
      <w:t>Enter short title in File/Properties/Summary</w:t>
    </w:r>
    <w:r w:rsidRPr="00572FC4">
      <w:rPr>
        <w:rStyle w:val="tevilkastrani"/>
        <w:sz w:val="18"/>
        <w:szCs w:val="18"/>
      </w:rPr>
      <w:fldChar w:fldCharType="end"/>
    </w:r>
    <w:r w:rsidRPr="00572FC4">
      <w:rPr>
        <w:rStyle w:val="tevilkastrani"/>
        <w:sz w:val="18"/>
        <w:szCs w:val="18"/>
      </w:rPr>
      <w:tab/>
      <w:t xml:space="preserve">Informatica </w:t>
    </w:r>
    <w:r w:rsidR="00BE0144">
      <w:rPr>
        <w:rStyle w:val="tevilkastrani"/>
        <w:b/>
        <w:sz w:val="18"/>
        <w:szCs w:val="18"/>
      </w:rPr>
      <w:fldChar w:fldCharType="begin"/>
    </w:r>
    <w:r w:rsidR="00BE0144">
      <w:rPr>
        <w:rStyle w:val="tevilkastrani"/>
        <w:b/>
        <w:sz w:val="18"/>
        <w:szCs w:val="18"/>
      </w:rPr>
      <w:instrText xml:space="preserve"> DOCPROPERTY  Letnik  \* MERGEFORMAT </w:instrText>
    </w:r>
    <w:r w:rsidR="00BE0144">
      <w:rPr>
        <w:rStyle w:val="tevilkastrani"/>
        <w:b/>
        <w:sz w:val="18"/>
        <w:szCs w:val="18"/>
      </w:rPr>
      <w:fldChar w:fldCharType="separate"/>
    </w:r>
    <w:r w:rsidR="00BE0144">
      <w:rPr>
        <w:rStyle w:val="tevilkastrani"/>
        <w:b/>
        <w:sz w:val="18"/>
        <w:szCs w:val="18"/>
      </w:rPr>
      <w:t>46</w:t>
    </w:r>
    <w:r w:rsidR="00BE0144">
      <w:rPr>
        <w:rStyle w:val="tevilkastrani"/>
        <w:b/>
        <w:sz w:val="18"/>
        <w:szCs w:val="18"/>
      </w:rPr>
      <w:fldChar w:fldCharType="end"/>
    </w:r>
    <w:r w:rsidRPr="00572FC4">
      <w:rPr>
        <w:rStyle w:val="tevilkastrani"/>
        <w:sz w:val="18"/>
        <w:szCs w:val="18"/>
      </w:rPr>
      <w:t xml:space="preserve"> (</w:t>
    </w:r>
    <w:r w:rsidR="00BE0144">
      <w:rPr>
        <w:rStyle w:val="tevilkastrani"/>
        <w:sz w:val="18"/>
        <w:szCs w:val="18"/>
      </w:rPr>
      <w:fldChar w:fldCharType="begin"/>
    </w:r>
    <w:r w:rsidR="00BE0144">
      <w:rPr>
        <w:rStyle w:val="tevilkastrani"/>
        <w:sz w:val="18"/>
        <w:szCs w:val="18"/>
      </w:rPr>
      <w:instrText xml:space="preserve"> DOCPROPERTY  Leto  \* MERGEFORMAT </w:instrText>
    </w:r>
    <w:r w:rsidR="00BE0144">
      <w:rPr>
        <w:rStyle w:val="tevilkastrani"/>
        <w:sz w:val="18"/>
        <w:szCs w:val="18"/>
      </w:rPr>
      <w:fldChar w:fldCharType="separate"/>
    </w:r>
    <w:r w:rsidR="00BE0144">
      <w:rPr>
        <w:rStyle w:val="tevilkastrani"/>
        <w:sz w:val="18"/>
        <w:szCs w:val="18"/>
      </w:rPr>
      <w:t>2022</w:t>
    </w:r>
    <w:r w:rsidR="00BE0144">
      <w:rPr>
        <w:rStyle w:val="tevilkastrani"/>
        <w:sz w:val="18"/>
        <w:szCs w:val="18"/>
      </w:rPr>
      <w:fldChar w:fldCharType="end"/>
    </w:r>
    <w:r w:rsidRPr="00572FC4">
      <w:rPr>
        <w:rStyle w:val="tevilkastrani"/>
        <w:sz w:val="18"/>
        <w:szCs w:val="18"/>
      </w:rPr>
      <w:t xml:space="preserve">) </w:t>
    </w:r>
    <w:r w:rsidR="00572FC4">
      <w:rPr>
        <w:rStyle w:val="tevilkastrani"/>
        <w:sz w:val="18"/>
        <w:szCs w:val="18"/>
      </w:rPr>
      <w:fldChar w:fldCharType="begin"/>
    </w:r>
    <w:r w:rsidR="00572FC4">
      <w:rPr>
        <w:rStyle w:val="tevilkastrani"/>
        <w:sz w:val="18"/>
        <w:szCs w:val="18"/>
      </w:rPr>
      <w:instrText xml:space="preserve"> DOCPROPERTY  pageF  \* MERGEFORMAT </w:instrText>
    </w:r>
    <w:r w:rsidR="00572FC4">
      <w:rPr>
        <w:rStyle w:val="tevilkastrani"/>
        <w:sz w:val="18"/>
        <w:szCs w:val="18"/>
      </w:rPr>
      <w:fldChar w:fldCharType="separate"/>
    </w:r>
    <w:r w:rsidR="00572FC4">
      <w:rPr>
        <w:rStyle w:val="tevilkastrani"/>
        <w:sz w:val="18"/>
        <w:szCs w:val="18"/>
      </w:rPr>
      <w:t>501</w:t>
    </w:r>
    <w:r w:rsidR="00572FC4">
      <w:rPr>
        <w:rStyle w:val="tevilkastrani"/>
        <w:sz w:val="18"/>
        <w:szCs w:val="18"/>
      </w:rPr>
      <w:fldChar w:fldCharType="end"/>
    </w:r>
    <w:r w:rsidRPr="00572FC4">
      <w:rPr>
        <w:rStyle w:val="tevilkastrani"/>
        <w:sz w:val="18"/>
        <w:szCs w:val="18"/>
      </w:rPr>
      <w:t>–</w:t>
    </w:r>
    <w:r w:rsidR="00572FC4">
      <w:rPr>
        <w:rStyle w:val="tevilkastrani"/>
        <w:sz w:val="18"/>
        <w:szCs w:val="18"/>
      </w:rPr>
      <w:fldChar w:fldCharType="begin"/>
    </w:r>
    <w:r w:rsidR="00572FC4">
      <w:rPr>
        <w:rStyle w:val="tevilkastrani"/>
        <w:sz w:val="18"/>
        <w:szCs w:val="18"/>
      </w:rPr>
      <w:instrText xml:space="preserve"> DOCPROPERTY  pageL  \* MERGEFORMAT </w:instrText>
    </w:r>
    <w:r w:rsidR="00572FC4">
      <w:rPr>
        <w:rStyle w:val="tevilkastrani"/>
        <w:sz w:val="18"/>
        <w:szCs w:val="18"/>
      </w:rPr>
      <w:fldChar w:fldCharType="separate"/>
    </w:r>
    <w:r w:rsidR="00572FC4">
      <w:rPr>
        <w:rStyle w:val="tevilkastrani"/>
        <w:sz w:val="18"/>
        <w:szCs w:val="18"/>
      </w:rPr>
      <w:t>505</w:t>
    </w:r>
    <w:r w:rsidR="00572FC4">
      <w:rPr>
        <w:rStyle w:val="tevilkastrani"/>
        <w:sz w:val="18"/>
        <w:szCs w:val="18"/>
      </w:rPr>
      <w:fldChar w:fldCharType="end"/>
    </w:r>
    <w:r w:rsidR="00572FC4">
      <w:rPr>
        <w:rStyle w:val="tevilkastrani"/>
      </w:rPr>
      <w:tab/>
    </w:r>
    <w:r w:rsidR="00572FC4" w:rsidRPr="00572FC4">
      <w:rPr>
        <w:rStyle w:val="tevilkastrani"/>
        <w:b/>
        <w:bCs/>
      </w:rPr>
      <w:fldChar w:fldCharType="begin"/>
    </w:r>
    <w:r w:rsidR="00572FC4" w:rsidRPr="00572FC4">
      <w:rPr>
        <w:rStyle w:val="tevilkastrani"/>
        <w:b/>
        <w:bCs/>
      </w:rPr>
      <w:instrText xml:space="preserve"> PAGE   \* MERGEFORMAT </w:instrText>
    </w:r>
    <w:r w:rsidR="00572FC4" w:rsidRPr="00572FC4">
      <w:rPr>
        <w:rStyle w:val="tevilkastrani"/>
        <w:b/>
        <w:bCs/>
      </w:rPr>
      <w:fldChar w:fldCharType="separate"/>
    </w:r>
    <w:r w:rsidR="00572FC4" w:rsidRPr="00572FC4">
      <w:rPr>
        <w:rStyle w:val="tevilkastrani"/>
        <w:b/>
        <w:bCs/>
        <w:noProof/>
      </w:rPr>
      <w:t>502</w:t>
    </w:r>
    <w:r w:rsidR="00572FC4" w:rsidRPr="00572FC4">
      <w:rPr>
        <w:rStyle w:val="tevilkastrani"/>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A43A" w14:textId="19A80C61" w:rsidR="009217B0" w:rsidRDefault="00875C0A" w:rsidP="005636B8">
    <w:pPr>
      <w:pStyle w:val="Glava"/>
      <w:tabs>
        <w:tab w:val="clear" w:pos="4153"/>
        <w:tab w:val="clear" w:pos="8306"/>
        <w:tab w:val="right" w:pos="9072"/>
        <w:tab w:val="right" w:pos="9498"/>
      </w:tabs>
      <w:ind w:firstLine="0"/>
      <w:rPr>
        <w:sz w:val="18"/>
        <w:lang w:val="sl-SI"/>
      </w:rPr>
    </w:pPr>
    <w:r w:rsidRPr="009B4332">
      <w:rPr>
        <w:sz w:val="18"/>
        <w:szCs w:val="18"/>
        <w:lang w:val="sl-SI"/>
      </w:rPr>
      <w:t>https://doi.org/10.31449/inf.v</w:t>
    </w:r>
    <w:r w:rsidRPr="009B4332">
      <w:rPr>
        <w:sz w:val="18"/>
        <w:szCs w:val="18"/>
        <w:lang w:val="sl-SI"/>
      </w:rPr>
      <w:fldChar w:fldCharType="begin"/>
    </w:r>
    <w:r w:rsidRPr="009B4332">
      <w:rPr>
        <w:sz w:val="18"/>
        <w:szCs w:val="18"/>
        <w:lang w:val="sl-SI"/>
      </w:rPr>
      <w:instrText xml:space="preserve"> DOCPROPERTY  Letnik  \* MERGEFORMAT </w:instrText>
    </w:r>
    <w:r w:rsidRPr="009B4332">
      <w:rPr>
        <w:sz w:val="18"/>
        <w:szCs w:val="18"/>
        <w:lang w:val="sl-SI"/>
      </w:rPr>
      <w:fldChar w:fldCharType="separate"/>
    </w:r>
    <w:r w:rsidR="00190066">
      <w:rPr>
        <w:sz w:val="18"/>
        <w:szCs w:val="18"/>
        <w:lang w:val="sl-SI"/>
      </w:rPr>
      <w:t>46</w:t>
    </w:r>
    <w:r w:rsidRPr="009B4332">
      <w:rPr>
        <w:sz w:val="18"/>
        <w:szCs w:val="18"/>
        <w:lang w:val="sl-SI"/>
      </w:rPr>
      <w:fldChar w:fldCharType="end"/>
    </w:r>
    <w:r w:rsidRPr="009B4332">
      <w:rPr>
        <w:sz w:val="18"/>
        <w:szCs w:val="18"/>
        <w:lang w:val="sl-SI"/>
      </w:rPr>
      <w:t>i</w:t>
    </w:r>
    <w:r w:rsidRPr="009B4332">
      <w:rPr>
        <w:sz w:val="18"/>
        <w:szCs w:val="18"/>
        <w:lang w:val="sl-SI"/>
      </w:rPr>
      <w:fldChar w:fldCharType="begin"/>
    </w:r>
    <w:r w:rsidRPr="009B4332">
      <w:rPr>
        <w:sz w:val="18"/>
        <w:szCs w:val="18"/>
        <w:lang w:val="sl-SI"/>
      </w:rPr>
      <w:instrText xml:space="preserve"> DOCPROPERTY  Issue  \* MERGEFORMAT </w:instrText>
    </w:r>
    <w:r w:rsidRPr="009B4332">
      <w:rPr>
        <w:sz w:val="18"/>
        <w:szCs w:val="18"/>
        <w:lang w:val="sl-SI"/>
      </w:rPr>
      <w:fldChar w:fldCharType="separate"/>
    </w:r>
    <w:r w:rsidR="001E6769" w:rsidRPr="009B4332">
      <w:rPr>
        <w:sz w:val="18"/>
        <w:szCs w:val="18"/>
        <w:lang w:val="sl-SI"/>
      </w:rPr>
      <w:t>x</w:t>
    </w:r>
    <w:r w:rsidRPr="009B4332">
      <w:rPr>
        <w:sz w:val="18"/>
        <w:szCs w:val="18"/>
        <w:lang w:val="sl-SI"/>
      </w:rPr>
      <w:fldChar w:fldCharType="end"/>
    </w:r>
    <w:r w:rsidRPr="009B4332">
      <w:rPr>
        <w:sz w:val="18"/>
        <w:szCs w:val="18"/>
        <w:lang w:val="sl-SI"/>
      </w:rPr>
      <w:t>.</w:t>
    </w:r>
    <w:r w:rsidRPr="009B4332">
      <w:rPr>
        <w:sz w:val="18"/>
        <w:szCs w:val="18"/>
        <w:lang w:val="sl-SI"/>
      </w:rPr>
      <w:fldChar w:fldCharType="begin"/>
    </w:r>
    <w:r w:rsidRPr="009B4332">
      <w:rPr>
        <w:sz w:val="18"/>
        <w:szCs w:val="18"/>
        <w:lang w:val="sl-SI"/>
      </w:rPr>
      <w:instrText xml:space="preserve"> DOCPROPERTY  InfCode  \* MERGEFORMAT </w:instrText>
    </w:r>
    <w:r w:rsidRPr="009B4332">
      <w:rPr>
        <w:sz w:val="18"/>
        <w:szCs w:val="18"/>
        <w:lang w:val="sl-SI"/>
      </w:rPr>
      <w:fldChar w:fldCharType="separate"/>
    </w:r>
    <w:r w:rsidR="001E6769" w:rsidRPr="009B4332">
      <w:rPr>
        <w:sz w:val="18"/>
        <w:szCs w:val="18"/>
        <w:lang w:val="sl-SI"/>
      </w:rPr>
      <w:t>xxxx</w:t>
    </w:r>
    <w:r w:rsidRPr="009B4332">
      <w:rPr>
        <w:sz w:val="18"/>
        <w:szCs w:val="18"/>
        <w:lang w:val="sl-SI"/>
      </w:rPr>
      <w:fldChar w:fldCharType="end"/>
    </w:r>
    <w:r w:rsidR="009217B0" w:rsidRPr="009B4332">
      <w:rPr>
        <w:sz w:val="18"/>
        <w:szCs w:val="18"/>
        <w:lang w:val="sl-SI"/>
      </w:rPr>
      <w:tab/>
    </w:r>
    <w:proofErr w:type="spellStart"/>
    <w:r w:rsidR="009217B0" w:rsidRPr="009B4332">
      <w:rPr>
        <w:sz w:val="18"/>
        <w:szCs w:val="18"/>
        <w:lang w:val="sl-SI"/>
      </w:rPr>
      <w:t>Informatica</w:t>
    </w:r>
    <w:proofErr w:type="spellEnd"/>
    <w:r w:rsidR="009217B0" w:rsidRPr="009B4332">
      <w:rPr>
        <w:sz w:val="18"/>
        <w:szCs w:val="18"/>
        <w:lang w:val="sl-SI"/>
      </w:rPr>
      <w:t xml:space="preserve"> </w:t>
    </w:r>
    <w:r w:rsidR="009217B0" w:rsidRPr="009B4332">
      <w:rPr>
        <w:b/>
        <w:sz w:val="18"/>
        <w:szCs w:val="18"/>
        <w:lang w:val="sl-SI"/>
      </w:rPr>
      <w:fldChar w:fldCharType="begin"/>
    </w:r>
    <w:r w:rsidR="009217B0" w:rsidRPr="009B4332">
      <w:rPr>
        <w:b/>
        <w:sz w:val="18"/>
        <w:szCs w:val="18"/>
        <w:lang w:val="sl-SI"/>
      </w:rPr>
      <w:instrText xml:space="preserve"> DOCPROPERTY  Letnik  \* MERGEFORMAT </w:instrText>
    </w:r>
    <w:r w:rsidR="009217B0" w:rsidRPr="009B4332">
      <w:rPr>
        <w:b/>
        <w:sz w:val="18"/>
        <w:szCs w:val="18"/>
        <w:lang w:val="sl-SI"/>
      </w:rPr>
      <w:fldChar w:fldCharType="separate"/>
    </w:r>
    <w:r w:rsidR="00190066">
      <w:rPr>
        <w:b/>
        <w:sz w:val="18"/>
        <w:szCs w:val="18"/>
        <w:lang w:val="sl-SI"/>
      </w:rPr>
      <w:t>46</w:t>
    </w:r>
    <w:r w:rsidR="009217B0" w:rsidRPr="009B4332">
      <w:rPr>
        <w:b/>
        <w:sz w:val="18"/>
        <w:szCs w:val="18"/>
        <w:lang w:val="sl-SI"/>
      </w:rPr>
      <w:fldChar w:fldCharType="end"/>
    </w:r>
    <w:r w:rsidR="009217B0" w:rsidRPr="009B4332">
      <w:rPr>
        <w:sz w:val="18"/>
        <w:szCs w:val="18"/>
        <w:lang w:val="sl-SI"/>
      </w:rPr>
      <w:t xml:space="preserve"> (</w:t>
    </w:r>
    <w:r w:rsidR="009217B0" w:rsidRPr="009B4332">
      <w:rPr>
        <w:sz w:val="18"/>
        <w:szCs w:val="18"/>
        <w:lang w:val="sl-SI"/>
      </w:rPr>
      <w:fldChar w:fldCharType="begin"/>
    </w:r>
    <w:r w:rsidR="009217B0" w:rsidRPr="009B4332">
      <w:rPr>
        <w:sz w:val="18"/>
        <w:szCs w:val="18"/>
        <w:lang w:val="sl-SI"/>
      </w:rPr>
      <w:instrText xml:space="preserve"> DOCPROPERTY  Leto  \* MERGEFORMAT </w:instrText>
    </w:r>
    <w:r w:rsidR="009217B0" w:rsidRPr="009B4332">
      <w:rPr>
        <w:sz w:val="18"/>
        <w:szCs w:val="18"/>
        <w:lang w:val="sl-SI"/>
      </w:rPr>
      <w:fldChar w:fldCharType="separate"/>
    </w:r>
    <w:r w:rsidR="00190066">
      <w:rPr>
        <w:sz w:val="18"/>
        <w:szCs w:val="18"/>
        <w:lang w:val="sl-SI"/>
      </w:rPr>
      <w:t>2022</w:t>
    </w:r>
    <w:r w:rsidR="009217B0" w:rsidRPr="009B4332">
      <w:rPr>
        <w:sz w:val="18"/>
        <w:szCs w:val="18"/>
        <w:lang w:val="sl-SI"/>
      </w:rPr>
      <w:fldChar w:fldCharType="end"/>
    </w:r>
    <w:r w:rsidR="009217B0" w:rsidRPr="009B4332">
      <w:rPr>
        <w:sz w:val="18"/>
        <w:szCs w:val="18"/>
        <w:lang w:val="sl-SI"/>
      </w:rPr>
      <w:t xml:space="preserve">) </w:t>
    </w:r>
    <w:r w:rsidR="009217B0" w:rsidRPr="009B4332">
      <w:rPr>
        <w:rStyle w:val="tevilkastrani"/>
        <w:bCs/>
        <w:sz w:val="18"/>
        <w:szCs w:val="18"/>
      </w:rPr>
      <w:fldChar w:fldCharType="begin"/>
    </w:r>
    <w:r w:rsidR="009217B0" w:rsidRPr="009B4332">
      <w:rPr>
        <w:rStyle w:val="tevilkastrani"/>
        <w:bCs/>
        <w:sz w:val="18"/>
        <w:szCs w:val="18"/>
      </w:rPr>
      <w:instrText xml:space="preserve"> PAGE </w:instrText>
    </w:r>
    <w:r w:rsidR="009217B0" w:rsidRPr="009B4332">
      <w:rPr>
        <w:rStyle w:val="tevilkastrani"/>
        <w:bCs/>
        <w:sz w:val="18"/>
        <w:szCs w:val="18"/>
      </w:rPr>
      <w:fldChar w:fldCharType="separate"/>
    </w:r>
    <w:r w:rsidR="00934CD3" w:rsidRPr="009B4332">
      <w:rPr>
        <w:rStyle w:val="tevilkastrani"/>
        <w:bCs/>
        <w:noProof/>
        <w:sz w:val="18"/>
        <w:szCs w:val="18"/>
      </w:rPr>
      <w:t>501</w:t>
    </w:r>
    <w:r w:rsidR="009217B0" w:rsidRPr="009B4332">
      <w:rPr>
        <w:rStyle w:val="tevilkastrani"/>
        <w:bCs/>
        <w:sz w:val="18"/>
        <w:szCs w:val="18"/>
      </w:rPr>
      <w:fldChar w:fldCharType="end"/>
    </w:r>
    <w:r w:rsidR="009217B0" w:rsidRPr="009B4332">
      <w:rPr>
        <w:sz w:val="18"/>
        <w:szCs w:val="18"/>
        <w:lang w:val="sl-SI"/>
      </w:rPr>
      <w:t>–</w:t>
    </w:r>
    <w:r w:rsidR="008F79DE" w:rsidRPr="009B4332">
      <w:rPr>
        <w:sz w:val="18"/>
        <w:szCs w:val="18"/>
        <w:lang w:val="sl-SI"/>
      </w:rPr>
      <w:fldChar w:fldCharType="begin"/>
    </w:r>
    <w:r w:rsidR="008F79DE" w:rsidRPr="009B4332">
      <w:rPr>
        <w:sz w:val="18"/>
        <w:szCs w:val="18"/>
        <w:lang w:val="sl-SI"/>
      </w:rPr>
      <w:instrText xml:space="preserve"> DOCPROPERTY  pageL  \* MERGEFORMAT </w:instrText>
    </w:r>
    <w:r w:rsidR="008F79DE" w:rsidRPr="009B4332">
      <w:rPr>
        <w:sz w:val="18"/>
        <w:szCs w:val="18"/>
        <w:lang w:val="sl-SI"/>
      </w:rPr>
      <w:fldChar w:fldCharType="separate"/>
    </w:r>
    <w:r w:rsidR="00190066">
      <w:rPr>
        <w:sz w:val="18"/>
        <w:szCs w:val="18"/>
        <w:lang w:val="sl-SI"/>
      </w:rPr>
      <w:t>505</w:t>
    </w:r>
    <w:r w:rsidR="008F79DE" w:rsidRPr="009B4332">
      <w:rPr>
        <w:sz w:val="18"/>
        <w:szCs w:val="18"/>
        <w:lang w:val="sl-SI"/>
      </w:rPr>
      <w:fldChar w:fldCharType="end"/>
    </w:r>
    <w:r w:rsidR="009217B0">
      <w:rPr>
        <w:sz w:val="18"/>
        <w:lang w:val="sl-SI"/>
      </w:rPr>
      <w:tab/>
    </w:r>
    <w:r w:rsidR="009217B0">
      <w:rPr>
        <w:rStyle w:val="tevilkastrani"/>
        <w:b/>
      </w:rPr>
      <w:fldChar w:fldCharType="begin"/>
    </w:r>
    <w:r w:rsidR="009217B0">
      <w:rPr>
        <w:rStyle w:val="tevilkastrani"/>
        <w:b/>
      </w:rPr>
      <w:instrText xml:space="preserve"> PAGE </w:instrText>
    </w:r>
    <w:r w:rsidR="009217B0">
      <w:rPr>
        <w:rStyle w:val="tevilkastrani"/>
        <w:b/>
      </w:rPr>
      <w:fldChar w:fldCharType="separate"/>
    </w:r>
    <w:r w:rsidR="00934CD3">
      <w:rPr>
        <w:rStyle w:val="tevilkastrani"/>
        <w:b/>
        <w:noProof/>
      </w:rPr>
      <w:t>501</w:t>
    </w:r>
    <w:r w:rsidR="009217B0">
      <w:rPr>
        <w:rStyle w:val="tevilkastrani"/>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1C88D" w14:textId="55E4F231" w:rsidR="0029783C" w:rsidRDefault="009217B0" w:rsidP="00014998">
    <w:pPr>
      <w:pStyle w:val="Glava"/>
      <w:tabs>
        <w:tab w:val="clear" w:pos="4153"/>
        <w:tab w:val="clear" w:pos="8306"/>
        <w:tab w:val="left" w:pos="567"/>
        <w:tab w:val="right" w:pos="9498"/>
      </w:tabs>
      <w:ind w:firstLine="0"/>
    </w:pPr>
    <w:r>
      <w:rPr>
        <w:rStyle w:val="tevilkastrani"/>
        <w:b/>
      </w:rPr>
      <w:fldChar w:fldCharType="begin"/>
    </w:r>
    <w:r>
      <w:rPr>
        <w:rStyle w:val="tevilkastrani"/>
        <w:b/>
      </w:rPr>
      <w:instrText xml:space="preserve"> PAGE </w:instrText>
    </w:r>
    <w:r>
      <w:rPr>
        <w:rStyle w:val="tevilkastrani"/>
        <w:b/>
      </w:rPr>
      <w:fldChar w:fldCharType="separate"/>
    </w:r>
    <w:r w:rsidR="00934CD3">
      <w:rPr>
        <w:rStyle w:val="tevilkastrani"/>
        <w:b/>
        <w:noProof/>
      </w:rPr>
      <w:t>502</w:t>
    </w:r>
    <w:r>
      <w:rPr>
        <w:rStyle w:val="tevilkastrani"/>
        <w:b/>
      </w:rPr>
      <w:fldChar w:fldCharType="end"/>
    </w:r>
    <w:r>
      <w:rPr>
        <w:rStyle w:val="tevilkastrani"/>
        <w:sz w:val="18"/>
      </w:rPr>
      <w:tab/>
      <w:t xml:space="preserve">Informatica </w:t>
    </w:r>
    <w:r>
      <w:rPr>
        <w:rStyle w:val="tevilkastrani"/>
        <w:b/>
        <w:sz w:val="18"/>
      </w:rPr>
      <w:fldChar w:fldCharType="begin"/>
    </w:r>
    <w:r>
      <w:rPr>
        <w:rStyle w:val="tevilkastrani"/>
        <w:b/>
        <w:sz w:val="18"/>
      </w:rPr>
      <w:instrText xml:space="preserve"> DOCPROPERTY  Letnik  \* MERGEFORMAT </w:instrText>
    </w:r>
    <w:r>
      <w:rPr>
        <w:rStyle w:val="tevilkastrani"/>
        <w:b/>
        <w:sz w:val="18"/>
      </w:rPr>
      <w:fldChar w:fldCharType="separate"/>
    </w:r>
    <w:r w:rsidR="00CF04E6">
      <w:rPr>
        <w:rStyle w:val="tevilkastrani"/>
        <w:b/>
        <w:sz w:val="18"/>
      </w:rPr>
      <w:t>46</w:t>
    </w:r>
    <w:r>
      <w:rPr>
        <w:rStyle w:val="tevilkastrani"/>
        <w:b/>
        <w:sz w:val="18"/>
      </w:rPr>
      <w:fldChar w:fldCharType="end"/>
    </w:r>
    <w:r>
      <w:rPr>
        <w:rStyle w:val="tevilkastrani"/>
        <w:sz w:val="18"/>
      </w:rPr>
      <w:t xml:space="preserve"> (</w:t>
    </w:r>
    <w:r>
      <w:rPr>
        <w:rStyle w:val="tevilkastrani"/>
        <w:sz w:val="18"/>
      </w:rPr>
      <w:fldChar w:fldCharType="begin"/>
    </w:r>
    <w:r>
      <w:rPr>
        <w:rStyle w:val="tevilkastrani"/>
        <w:sz w:val="18"/>
      </w:rPr>
      <w:instrText xml:space="preserve"> DOCPROPERTY  Leto  \* MERGEFORMAT </w:instrText>
    </w:r>
    <w:r>
      <w:rPr>
        <w:rStyle w:val="tevilkastrani"/>
        <w:sz w:val="18"/>
      </w:rPr>
      <w:fldChar w:fldCharType="separate"/>
    </w:r>
    <w:r w:rsidR="00DB09DB">
      <w:rPr>
        <w:rStyle w:val="tevilkastrani"/>
        <w:sz w:val="18"/>
      </w:rPr>
      <w:t>2021</w:t>
    </w:r>
    <w:r>
      <w:rPr>
        <w:rStyle w:val="tevilkastrani"/>
        <w:sz w:val="18"/>
      </w:rPr>
      <w:fldChar w:fldCharType="end"/>
    </w:r>
    <w:r>
      <w:rPr>
        <w:rStyle w:val="tevilkastrani"/>
        <w:sz w:val="18"/>
      </w:rPr>
      <w:t xml:space="preserve">) </w:t>
    </w:r>
    <w:r w:rsidR="008F79DE">
      <w:rPr>
        <w:rStyle w:val="tevilkastrani"/>
        <w:sz w:val="18"/>
      </w:rPr>
      <w:fldChar w:fldCharType="begin"/>
    </w:r>
    <w:r w:rsidR="008F79DE">
      <w:rPr>
        <w:rStyle w:val="tevilkastrani"/>
        <w:sz w:val="18"/>
      </w:rPr>
      <w:instrText xml:space="preserve"> DOCPROPERTY  pageF  \* MERGEFORMAT </w:instrText>
    </w:r>
    <w:r w:rsidR="008F79DE">
      <w:rPr>
        <w:rStyle w:val="tevilkastrani"/>
        <w:sz w:val="18"/>
      </w:rPr>
      <w:fldChar w:fldCharType="separate"/>
    </w:r>
    <w:r w:rsidR="001E6769">
      <w:rPr>
        <w:rStyle w:val="tevilkastrani"/>
        <w:sz w:val="18"/>
      </w:rPr>
      <w:t>501</w:t>
    </w:r>
    <w:r w:rsidR="008F79DE">
      <w:rPr>
        <w:rStyle w:val="tevilkastrani"/>
        <w:sz w:val="18"/>
      </w:rPr>
      <w:fldChar w:fldCharType="end"/>
    </w:r>
    <w:r>
      <w:rPr>
        <w:rStyle w:val="tevilkastrani"/>
        <w:sz w:val="18"/>
      </w:rPr>
      <w:t>–</w:t>
    </w:r>
    <w:r w:rsidR="008F79DE">
      <w:rPr>
        <w:rStyle w:val="tevilkastrani"/>
        <w:sz w:val="18"/>
      </w:rPr>
      <w:fldChar w:fldCharType="begin"/>
    </w:r>
    <w:r w:rsidR="008F79DE">
      <w:rPr>
        <w:rStyle w:val="tevilkastrani"/>
        <w:sz w:val="18"/>
      </w:rPr>
      <w:instrText xml:space="preserve"> DOCPROPERTY  pageL  \* MERGEFORMAT </w:instrText>
    </w:r>
    <w:r w:rsidR="008F79DE">
      <w:rPr>
        <w:rStyle w:val="tevilkastrani"/>
        <w:sz w:val="18"/>
      </w:rPr>
      <w:fldChar w:fldCharType="separate"/>
    </w:r>
    <w:r w:rsidR="001E6769">
      <w:rPr>
        <w:rStyle w:val="tevilkastrani"/>
        <w:sz w:val="18"/>
      </w:rPr>
      <w:t>505</w:t>
    </w:r>
    <w:r w:rsidR="008F79DE">
      <w:rPr>
        <w:rStyle w:val="tevilkastrani"/>
        <w:sz w:val="18"/>
      </w:rPr>
      <w:fldChar w:fldCharType="end"/>
    </w:r>
    <w:r>
      <w:rPr>
        <w:rStyle w:val="tevilkastrani"/>
        <w:sz w:val="18"/>
      </w:rPr>
      <w:tab/>
    </w:r>
    <w:r>
      <w:rPr>
        <w:rStyle w:val="tevilkastrani"/>
        <w:sz w:val="18"/>
      </w:rPr>
      <w:fldChar w:fldCharType="begin"/>
    </w:r>
    <w:r>
      <w:rPr>
        <w:rStyle w:val="tevilkastrani"/>
        <w:sz w:val="18"/>
      </w:rPr>
      <w:instrText xml:space="preserve"> AUTHOR   \* MERGEFORMAT </w:instrText>
    </w:r>
    <w:r>
      <w:rPr>
        <w:rStyle w:val="tevilkastrani"/>
        <w:sz w:val="18"/>
      </w:rPr>
      <w:fldChar w:fldCharType="separate"/>
    </w:r>
    <w:r w:rsidR="00421166">
      <w:rPr>
        <w:rStyle w:val="tevilkastrani"/>
        <w:noProof/>
        <w:sz w:val="18"/>
      </w:rPr>
      <w:t>Borut</w:t>
    </w:r>
    <w:r>
      <w:rPr>
        <w:rStyle w:val="tevilkastrani"/>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91389786"/>
    <w:lvl w:ilvl="0">
      <w:start w:val="1"/>
      <w:numFmt w:val="decimal"/>
      <w:lvlText w:val="[%1]"/>
      <w:lvlJc w:val="left"/>
      <w:pPr>
        <w:ind w:left="360" w:hanging="360"/>
      </w:pPr>
      <w:rPr>
        <w:rFonts w:hint="default"/>
      </w:r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C1E85CA6"/>
    <w:lvl w:ilvl="0">
      <w:start w:val="1"/>
      <w:numFmt w:val="decimal"/>
      <w:pStyle w:val="Naslov1"/>
      <w:lvlText w:val="%1"/>
      <w:lvlJc w:val="left"/>
      <w:pPr>
        <w:tabs>
          <w:tab w:val="num" w:pos="432"/>
        </w:tabs>
        <w:ind w:left="432" w:hanging="432"/>
      </w:pPr>
    </w:lvl>
    <w:lvl w:ilvl="1">
      <w:start w:val="1"/>
      <w:numFmt w:val="decimal"/>
      <w:pStyle w:val="Naslov2"/>
      <w:lvlText w:val="%1.%2"/>
      <w:lvlJc w:val="left"/>
      <w:pPr>
        <w:tabs>
          <w:tab w:val="num" w:pos="576"/>
        </w:tabs>
        <w:ind w:left="576" w:hanging="576"/>
      </w:pPr>
    </w:lvl>
    <w:lvl w:ilvl="2">
      <w:start w:val="1"/>
      <w:numFmt w:val="decimal"/>
      <w:pStyle w:val="Naslov3"/>
      <w:lvlText w:val="%1.%2.%3"/>
      <w:lvlJc w:val="left"/>
      <w:pPr>
        <w:tabs>
          <w:tab w:val="num" w:pos="720"/>
        </w:tabs>
        <w:ind w:left="720" w:hanging="720"/>
      </w:pPr>
    </w:lvl>
    <w:lvl w:ilvl="3">
      <w:start w:val="1"/>
      <w:numFmt w:val="decimal"/>
      <w:pStyle w:val="Naslov4"/>
      <w:lvlText w:val="%1.%2.%3.%4"/>
      <w:lvlJc w:val="left"/>
      <w:pPr>
        <w:tabs>
          <w:tab w:val="num" w:pos="864"/>
        </w:tabs>
        <w:ind w:left="864" w:hanging="864"/>
      </w:pPr>
    </w:lvl>
    <w:lvl w:ilvl="4">
      <w:start w:val="1"/>
      <w:numFmt w:val="decimal"/>
      <w:pStyle w:val="Naslov5"/>
      <w:lvlText w:val="%1.%2.%3.%4.%5"/>
      <w:lvlJc w:val="left"/>
      <w:pPr>
        <w:tabs>
          <w:tab w:val="num" w:pos="1008"/>
        </w:tabs>
        <w:ind w:left="1008" w:hanging="1008"/>
      </w:pPr>
    </w:lvl>
    <w:lvl w:ilvl="5">
      <w:start w:val="1"/>
      <w:numFmt w:val="decimal"/>
      <w:pStyle w:val="Naslov6"/>
      <w:lvlText w:val="%1.%2.%3.%4.%5.%6"/>
      <w:lvlJc w:val="left"/>
      <w:pPr>
        <w:tabs>
          <w:tab w:val="num" w:pos="1152"/>
        </w:tabs>
        <w:ind w:left="1152" w:hanging="1152"/>
      </w:pPr>
    </w:lvl>
    <w:lvl w:ilvl="6">
      <w:start w:val="1"/>
      <w:numFmt w:val="decimal"/>
      <w:pStyle w:val="Naslov7"/>
      <w:lvlText w:val="%1.%2.%3.%4.%5.%6.%7"/>
      <w:lvlJc w:val="left"/>
      <w:pPr>
        <w:tabs>
          <w:tab w:val="num" w:pos="1296"/>
        </w:tabs>
        <w:ind w:left="1296" w:hanging="1296"/>
      </w:pPr>
    </w:lvl>
    <w:lvl w:ilvl="7">
      <w:start w:val="1"/>
      <w:numFmt w:val="decimal"/>
      <w:pStyle w:val="Naslov8"/>
      <w:lvlText w:val="%1.%2.%3.%4.%5.%6.%7.%8"/>
      <w:lvlJc w:val="left"/>
      <w:pPr>
        <w:tabs>
          <w:tab w:val="num" w:pos="1440"/>
        </w:tabs>
        <w:ind w:left="1440" w:hanging="1440"/>
      </w:pPr>
    </w:lvl>
    <w:lvl w:ilvl="8">
      <w:start w:val="1"/>
      <w:numFmt w:val="decimal"/>
      <w:pStyle w:val="Naslov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6EA21733"/>
    <w:multiLevelType w:val="multilevel"/>
    <w:tmpl w:val="F92A763C"/>
    <w:name w:val="I_SectionTitle_List"/>
    <w:lvl w:ilvl="0">
      <w:start w:val="1"/>
      <w:numFmt w:val="decimal"/>
      <w:pStyle w:val="ISectionTitle"/>
      <w:lvlText w:val="%1"/>
      <w:lvlJc w:val="left"/>
      <w:pPr>
        <w:tabs>
          <w:tab w:val="num" w:pos="432"/>
        </w:tabs>
        <w:ind w:left="432" w:hanging="432"/>
      </w:pPr>
      <w:rPr>
        <w:rFonts w:hint="default"/>
      </w:rPr>
    </w:lvl>
    <w:lvl w:ilvl="1">
      <w:start w:val="1"/>
      <w:numFmt w:val="decimal"/>
      <w:pStyle w:val="ISubSectionTitle"/>
      <w:lvlText w:val="%1.%2"/>
      <w:lvlJc w:val="left"/>
      <w:pPr>
        <w:tabs>
          <w:tab w:val="num" w:pos="576"/>
        </w:tabs>
        <w:ind w:left="576" w:hanging="576"/>
      </w:pPr>
      <w:rPr>
        <w:rFonts w:hint="default"/>
      </w:rPr>
    </w:lvl>
    <w:lvl w:ilvl="2">
      <w:start w:val="1"/>
      <w:numFmt w:val="decimal"/>
      <w:pStyle w:val="ISubSubSectionTitle"/>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C9A7854"/>
    <w:multiLevelType w:val="hybridMultilevel"/>
    <w:tmpl w:val="29D8CBDC"/>
    <w:lvl w:ilvl="0" w:tplc="69AA3DA4">
      <w:start w:val="1"/>
      <w:numFmt w:val="decimal"/>
      <w:pStyle w:val="IBibliography"/>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EE03544"/>
    <w:multiLevelType w:val="multilevel"/>
    <w:tmpl w:val="C742CCD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 w:numId="8">
    <w:abstractNumId w:val="1"/>
  </w:num>
  <w:num w:numId="9">
    <w:abstractNumId w:val="3"/>
  </w:num>
  <w:num w:numId="10">
    <w:abstractNumId w:val="3"/>
  </w:num>
  <w:num w:numId="11">
    <w:abstractNumId w:val="7"/>
  </w:num>
  <w:num w:numId="12">
    <w:abstractNumId w:val="7"/>
    <w:lvlOverride w:ilvl="0">
      <w:lvl w:ilvl="0">
        <w:start w:val="1"/>
        <w:numFmt w:val="decimal"/>
        <w:pStyle w:val="ISectionTitle"/>
        <w:lvlText w:val="%1"/>
        <w:lvlJc w:val="left"/>
        <w:pPr>
          <w:tabs>
            <w:tab w:val="num" w:pos="432"/>
          </w:tabs>
          <w:ind w:left="432" w:hanging="432"/>
        </w:pPr>
        <w:rPr>
          <w:rFonts w:hint="default"/>
        </w:rPr>
      </w:lvl>
    </w:lvlOverride>
    <w:lvlOverride w:ilvl="1">
      <w:lvl w:ilvl="1">
        <w:start w:val="1"/>
        <w:numFmt w:val="decimal"/>
        <w:pStyle w:val="ISubSectionTitle"/>
        <w:lvlText w:val="%1.%2"/>
        <w:lvlJc w:val="left"/>
        <w:pPr>
          <w:tabs>
            <w:tab w:val="num" w:pos="576"/>
          </w:tabs>
          <w:ind w:left="576" w:hanging="576"/>
        </w:pPr>
        <w:rPr>
          <w:rFonts w:hint="default"/>
        </w:rPr>
      </w:lvl>
    </w:lvlOverride>
    <w:lvlOverride w:ilvl="2">
      <w:lvl w:ilvl="2">
        <w:start w:val="1"/>
        <w:numFmt w:val="decimal"/>
        <w:pStyle w:val="ISubSubSectionTitle"/>
        <w:lvlText w:val="%1.%2.%3"/>
        <w:lvlJc w:val="left"/>
        <w:pPr>
          <w:tabs>
            <w:tab w:val="num" w:pos="720"/>
          </w:tabs>
          <w:ind w:left="720" w:hanging="720"/>
        </w:pPr>
        <w:rPr>
          <w:rFonts w:hint="default"/>
        </w:rPr>
      </w:lvl>
    </w:lvlOverride>
    <w:lvlOverride w:ilvl="3">
      <w:lvl w:ilvl="3">
        <w:start w:val="1"/>
        <w:numFmt w:val="decimal"/>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abstractNumId w:val="9"/>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69"/>
    <w:rsid w:val="00014998"/>
    <w:rsid w:val="00064F7D"/>
    <w:rsid w:val="000671D1"/>
    <w:rsid w:val="00072162"/>
    <w:rsid w:val="00097709"/>
    <w:rsid w:val="000A2A1F"/>
    <w:rsid w:val="000E488A"/>
    <w:rsid w:val="001019A7"/>
    <w:rsid w:val="00120D22"/>
    <w:rsid w:val="0012571B"/>
    <w:rsid w:val="0012769F"/>
    <w:rsid w:val="0013521F"/>
    <w:rsid w:val="00160750"/>
    <w:rsid w:val="001617EA"/>
    <w:rsid w:val="00164B1C"/>
    <w:rsid w:val="00190066"/>
    <w:rsid w:val="0019479F"/>
    <w:rsid w:val="001E6769"/>
    <w:rsid w:val="001E6D9E"/>
    <w:rsid w:val="001F2858"/>
    <w:rsid w:val="00290898"/>
    <w:rsid w:val="0029783C"/>
    <w:rsid w:val="002A68BE"/>
    <w:rsid w:val="002B55EC"/>
    <w:rsid w:val="00337F2E"/>
    <w:rsid w:val="00357EBD"/>
    <w:rsid w:val="00362CE5"/>
    <w:rsid w:val="00375CD2"/>
    <w:rsid w:val="00383BD4"/>
    <w:rsid w:val="003B22AA"/>
    <w:rsid w:val="003B53DF"/>
    <w:rsid w:val="003C7822"/>
    <w:rsid w:val="003F22F1"/>
    <w:rsid w:val="003F2B31"/>
    <w:rsid w:val="004128CE"/>
    <w:rsid w:val="00414563"/>
    <w:rsid w:val="00421166"/>
    <w:rsid w:val="004244A2"/>
    <w:rsid w:val="00447A0D"/>
    <w:rsid w:val="00452BA0"/>
    <w:rsid w:val="004A1A34"/>
    <w:rsid w:val="004A71CC"/>
    <w:rsid w:val="004F166F"/>
    <w:rsid w:val="00523A16"/>
    <w:rsid w:val="00562A3A"/>
    <w:rsid w:val="005636B8"/>
    <w:rsid w:val="00572FC4"/>
    <w:rsid w:val="0058653D"/>
    <w:rsid w:val="005C267F"/>
    <w:rsid w:val="005D507A"/>
    <w:rsid w:val="00610736"/>
    <w:rsid w:val="006E61C6"/>
    <w:rsid w:val="006F3C97"/>
    <w:rsid w:val="00704A68"/>
    <w:rsid w:val="0071240A"/>
    <w:rsid w:val="00744DDA"/>
    <w:rsid w:val="0076159E"/>
    <w:rsid w:val="007B664E"/>
    <w:rsid w:val="007F42E7"/>
    <w:rsid w:val="00836CE5"/>
    <w:rsid w:val="00861764"/>
    <w:rsid w:val="00875C0A"/>
    <w:rsid w:val="008F6D3F"/>
    <w:rsid w:val="008F79DE"/>
    <w:rsid w:val="009217B0"/>
    <w:rsid w:val="00930AC2"/>
    <w:rsid w:val="00934CD3"/>
    <w:rsid w:val="00953437"/>
    <w:rsid w:val="00954D24"/>
    <w:rsid w:val="009627A1"/>
    <w:rsid w:val="00977AF1"/>
    <w:rsid w:val="009B3E65"/>
    <w:rsid w:val="009B4332"/>
    <w:rsid w:val="009C2830"/>
    <w:rsid w:val="009C4AC9"/>
    <w:rsid w:val="009F1CF1"/>
    <w:rsid w:val="00A56515"/>
    <w:rsid w:val="00A633FA"/>
    <w:rsid w:val="00A75973"/>
    <w:rsid w:val="00A938B4"/>
    <w:rsid w:val="00AD471E"/>
    <w:rsid w:val="00B01DF7"/>
    <w:rsid w:val="00B36EC4"/>
    <w:rsid w:val="00B65CD1"/>
    <w:rsid w:val="00B87A3B"/>
    <w:rsid w:val="00BC2A1B"/>
    <w:rsid w:val="00BD172F"/>
    <w:rsid w:val="00BE0144"/>
    <w:rsid w:val="00BE0186"/>
    <w:rsid w:val="00C26CEC"/>
    <w:rsid w:val="00C72479"/>
    <w:rsid w:val="00CF04E6"/>
    <w:rsid w:val="00D60E64"/>
    <w:rsid w:val="00D84FE0"/>
    <w:rsid w:val="00D93337"/>
    <w:rsid w:val="00DB09DB"/>
    <w:rsid w:val="00DC37CA"/>
    <w:rsid w:val="00DE35B3"/>
    <w:rsid w:val="00E01DED"/>
    <w:rsid w:val="00E14F54"/>
    <w:rsid w:val="00E2346F"/>
    <w:rsid w:val="00E37A5E"/>
    <w:rsid w:val="00ED0873"/>
    <w:rsid w:val="00ED6067"/>
    <w:rsid w:val="00F26D9A"/>
    <w:rsid w:val="00F26F4A"/>
    <w:rsid w:val="00FA4677"/>
    <w:rsid w:val="00FD1A76"/>
    <w:rsid w:val="00FF08F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085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numPr>
        <w:numId w:val="10"/>
      </w:numPr>
      <w:spacing w:before="240" w:after="60"/>
      <w:jc w:val="left"/>
      <w:outlineLvl w:val="0"/>
    </w:pPr>
    <w:rPr>
      <w:b/>
      <w:kern w:val="28"/>
      <w:sz w:val="28"/>
    </w:rPr>
  </w:style>
  <w:style w:type="paragraph" w:styleId="Naslov2">
    <w:name w:val="heading 2"/>
    <w:basedOn w:val="Normal-noindent"/>
    <w:next w:val="Navaden"/>
    <w:qFormat/>
    <w:rsid w:val="003F22F1"/>
    <w:pPr>
      <w:keepNext/>
      <w:numPr>
        <w:ilvl w:val="1"/>
        <w:numId w:val="10"/>
      </w:numPr>
      <w:spacing w:before="240" w:after="60"/>
      <w:jc w:val="left"/>
      <w:outlineLvl w:val="1"/>
    </w:pPr>
    <w:rPr>
      <w:b/>
      <w:sz w:val="24"/>
    </w:rPr>
  </w:style>
  <w:style w:type="paragraph" w:styleId="Naslov3">
    <w:name w:val="heading 3"/>
    <w:basedOn w:val="Normal-noindent"/>
    <w:next w:val="Navaden"/>
    <w:qFormat/>
    <w:rsid w:val="003F22F1"/>
    <w:pPr>
      <w:keepNext/>
      <w:numPr>
        <w:ilvl w:val="2"/>
        <w:numId w:val="10"/>
      </w:numPr>
      <w:spacing w:before="240" w:after="60"/>
      <w:jc w:val="left"/>
      <w:outlineLvl w:val="2"/>
    </w:pPr>
    <w:rPr>
      <w:b/>
      <w:sz w:val="22"/>
    </w:rPr>
  </w:style>
  <w:style w:type="paragraph" w:styleId="Naslov4">
    <w:name w:val="heading 4"/>
    <w:basedOn w:val="Normal-noindent"/>
    <w:next w:val="Navaden"/>
    <w:qFormat/>
    <w:rsid w:val="00953437"/>
    <w:pPr>
      <w:keepNext/>
      <w:numPr>
        <w:ilvl w:val="3"/>
        <w:numId w:val="10"/>
      </w:numPr>
      <w:spacing w:before="240" w:after="60"/>
      <w:jc w:val="left"/>
      <w:outlineLvl w:val="3"/>
    </w:pPr>
    <w:rPr>
      <w:b/>
    </w:rPr>
  </w:style>
  <w:style w:type="paragraph" w:styleId="Naslov5">
    <w:name w:val="heading 5"/>
    <w:basedOn w:val="Navaden"/>
    <w:next w:val="Navaden"/>
    <w:qFormat/>
    <w:pPr>
      <w:numPr>
        <w:ilvl w:val="4"/>
        <w:numId w:val="10"/>
      </w:numPr>
      <w:spacing w:before="240" w:after="60"/>
      <w:outlineLvl w:val="4"/>
    </w:pPr>
    <w:rPr>
      <w:sz w:val="22"/>
    </w:rPr>
  </w:style>
  <w:style w:type="paragraph" w:styleId="Naslov6">
    <w:name w:val="heading 6"/>
    <w:basedOn w:val="Navaden"/>
    <w:next w:val="Navaden"/>
    <w:qFormat/>
    <w:pPr>
      <w:numPr>
        <w:ilvl w:val="5"/>
        <w:numId w:val="10"/>
      </w:numPr>
      <w:spacing w:before="240" w:after="60"/>
      <w:outlineLvl w:val="5"/>
    </w:pPr>
    <w:rPr>
      <w:i/>
      <w:sz w:val="22"/>
    </w:rPr>
  </w:style>
  <w:style w:type="paragraph" w:styleId="Naslov7">
    <w:name w:val="heading 7"/>
    <w:basedOn w:val="Navaden"/>
    <w:next w:val="Navaden"/>
    <w:qFormat/>
    <w:pPr>
      <w:numPr>
        <w:ilvl w:val="6"/>
        <w:numId w:val="10"/>
      </w:numPr>
      <w:spacing w:before="240" w:after="60"/>
      <w:outlineLvl w:val="6"/>
    </w:pPr>
    <w:rPr>
      <w:rFonts w:ascii="Arial" w:hAnsi="Arial"/>
    </w:rPr>
  </w:style>
  <w:style w:type="paragraph" w:styleId="Naslov8">
    <w:name w:val="heading 8"/>
    <w:basedOn w:val="Navaden"/>
    <w:next w:val="Navaden"/>
    <w:qFormat/>
    <w:pPr>
      <w:numPr>
        <w:ilvl w:val="7"/>
        <w:numId w:val="10"/>
      </w:numPr>
      <w:spacing w:before="240" w:after="60"/>
      <w:outlineLvl w:val="7"/>
    </w:pPr>
    <w:rPr>
      <w:rFonts w:ascii="Arial" w:hAnsi="Arial"/>
      <w:i/>
    </w:rPr>
  </w:style>
  <w:style w:type="paragraph" w:styleId="Naslov9">
    <w:name w:val="heading 9"/>
    <w:basedOn w:val="Navaden"/>
    <w:next w:val="Navaden"/>
    <w:qFormat/>
    <w:pPr>
      <w:numPr>
        <w:ilvl w:val="8"/>
        <w:numId w:val="10"/>
      </w:numPr>
      <w:spacing w:before="240" w:after="60"/>
      <w:outlineLvl w:val="8"/>
    </w:pPr>
    <w:rPr>
      <w:rFonts w:ascii="Arial" w:hAnsi="Arial"/>
      <w:b/>
      <w:i/>
      <w:sz w:val="1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numPr>
        <w:ilvl w:val="2"/>
      </w:numPr>
      <w:outlineLvl w:val="2"/>
    </w:pPr>
    <w:rPr>
      <w:sz w:val="22"/>
    </w:rPr>
  </w:style>
  <w:style w:type="paragraph" w:customStyle="1" w:styleId="Naslov10">
    <w:name w:val="Naslov1"/>
    <w:basedOn w:val="Normal-noindent"/>
    <w:next w:val="Navaden"/>
    <w:rsid w:val="00953437"/>
    <w:pPr>
      <w:spacing w:after="240"/>
      <w:jc w:val="left"/>
    </w:pPr>
    <w:rPr>
      <w:b/>
      <w:sz w:val="32"/>
      <w:lang w:val="sl-SI"/>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numPr>
        <w:ilvl w:val="0"/>
        <w:numId w:val="0"/>
      </w:numPr>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numPr>
        <w:numId w:val="14"/>
      </w:num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numPr>
        <w:numId w:val="0"/>
      </w:numPr>
    </w:pPr>
  </w:style>
  <w:style w:type="paragraph" w:customStyle="1" w:styleId="ISectionTitle">
    <w:name w:val="I_SectionTitle"/>
    <w:basedOn w:val="ITextnoindent"/>
    <w:next w:val="ITextnoindent"/>
    <w:qFormat/>
    <w:rsid w:val="001019A7"/>
    <w:pPr>
      <w:keepNext/>
      <w:numPr>
        <w:numId w:val="11"/>
      </w:numPr>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numPr>
        <w:ilvl w:val="1"/>
      </w:num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Informatica2022.dotx</Template>
  <TotalTime>68</TotalTime>
  <Pages>1</Pages>
  <Words>96</Words>
  <Characters>548</Characters>
  <Application>Microsoft Office Word</Application>
  <DocSecurity>0</DocSecurity>
  <Lines>4</Lines>
  <Paragraphs>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Enter short title in File/Properties/Summary</vt:lpstr>
      <vt:lpstr>Enter short title in File/Properties/Summary</vt:lpstr>
    </vt:vector>
  </TitlesOfParts>
  <Company/>
  <LinksUpToDate>false</LinksUpToDate>
  <CharactersWithSpaces>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Borut</dc:creator>
  <cp:keywords/>
  <cp:lastModifiedBy>Borut</cp:lastModifiedBy>
  <cp:revision>26</cp:revision>
  <cp:lastPrinted>1999-12-01T16:08:00Z</cp:lastPrinted>
  <dcterms:created xsi:type="dcterms:W3CDTF">2021-10-03T10:50:00Z</dcterms:created>
  <dcterms:modified xsi:type="dcterms:W3CDTF">2022-01-01T18:08:00Z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46</vt:i4>
  </property>
  <property fmtid="{D5CDD505-2E9C-101B-9397-08002B2CF9AE}" pid="3" name="Leto">
    <vt:i4>2022</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2022.4</vt:lpwstr>
  </property>
  <property fmtid="{D5CDD505-2E9C-101B-9397-08002B2CF9AE}" pid="9" name="Issue">
    <vt:lpwstr>x</vt:lpwstr>
  </property>
  <property fmtid="{D5CDD505-2E9C-101B-9397-08002B2CF9AE}" pid="10" name="InfCode">
    <vt:lpwstr>xxxx</vt:lpwstr>
  </property>
</Properties>
</file>