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ITitle"/>
      </w:pPr>
      <w:r>
        <w:rPr>
          <w:b/>
        </w:rPr>
        <w:t>A Privacy-Preserving Multi-Modal Proctoring Framework Using Deep Learning for Secure Online Examinations</w:t>
      </w:r>
    </w:p>
    <w:p>
      <w:pPr>
        <w:pStyle w:val="IAuthors"/>
      </w:pPr>
      <w:r>
        <w:t>Radid Ali, Ghazouani Mohamed and El habib Benlahmar</w:t>
      </w:r>
    </w:p>
    <w:p>
      <w:pPr>
        <w:pStyle w:val="IText"/>
      </w:pPr>
      <w:r>
        <w:rPr>
          <w:i/>
        </w:rPr>
        <w:t>Department of Mathematics and Computer Science, Hassan II University, Faculty of Sciences Ben M'sik, Casablanca, Morocco</w:t>
      </w:r>
    </w:p>
    <w:p>
      <w:pPr>
        <w:pStyle w:val="IText"/>
      </w:pPr>
      <w:r>
        <w:rPr>
          <w:i/>
        </w:rPr>
        <w:t>E-mail: ali.radid-etu@etu.univh2c.ma, ghazouani.fsbm@gmail.com, h.benlahmer@gmail.com</w:t>
      </w:r>
    </w:p>
    <w:p>
      <w:pPr>
        <w:pStyle w:val="IText"/>
      </w:pPr>
      <w:r>
        <w:rPr>
          <w:i/>
        </w:rPr>
        <w:t>Corresponding author: Radid Ali (ali.radid-etu@etu.univh2c.ma)</w:t>
      </w:r>
    </w:p>
    <w:p>
      <w:pPr>
        <w:pStyle w:val="IKeywords"/>
      </w:pPr>
      <w:r>
        <w:rPr>
          <w:b/>
        </w:rPr>
        <w:t xml:space="preserve">Keywords: </w:t>
      </w:r>
      <w:r>
        <w:t>privacy-preserving proctoring, non-biometric monitoring, YOLOv8, MediaPipe FaceMesh, Whisper, suspicion index, online examinations, GDPR, CNDP, adversarial privacy verification.</w:t>
      </w:r>
    </w:p>
    <w:p>
      <w:pPr>
        <w:pStyle w:val="IReceived"/>
      </w:pPr>
      <w:r>
        <w:t xml:space="preserve">Received: </w:t>
      </w:r>
    </w:p>
    <w:p>
      <w:pPr>
        <w:pStyle w:val="IAbstract"/>
      </w:pP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standardized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uniquely able to detect off-camera collaboration.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while the same attacker constrained to the metadata stream emitted by our system achieves only 0.478 (chance level), empirically confirming the non-biometric property of the framework. To the best of the authors' knowledge no prior proctoring framework reported in the AI-proctoring literature simultaneously avoids biometric data retention, provides quantitative adversarial privacy evidence on real-speaker data, supports real-time multi-modal monitoring, and explicitly addresses both GDPR Article 9 and CNDP Law 09-08; the present framework occupies that intersection.</w:t>
      </w:r>
    </w:p>
    <w:p>
      <w:pPr>
        <w:pStyle w:val="I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njegova prednost pred preprostim pravilom tehtane vsote (F1 = 0,899) ni statistično značilna (McNemar p = 0,37), je pa značilno boljši od različic MLP in naivnega Bayesa. Na napravi Apple M4 Max (Mac Studio) cevovod deluje pri 23,7 sličicah na sekundo s pospeševanjem MPS in 19,4 sličicah na sekundo v načinu samo CPU. Sistem porabi največ 1.102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type w:val="continuous"/>
          <w:pgSz w:w="11906" w:h="16838"/>
          <w:pgMar w:top="1644" w:right="1077" w:bottom="1134" w:left="1304" w:header="936" w:footer="720"/>
          <w:cols w:num="1" w:space="284"/>
        </w:sectPr>
      </w:pPr>
    </w:p>
    <w:p>
      <w:pPr>
        <w:pStyle w:val="ISectionTitle"/>
      </w:pPr>
      <w:r>
        <w:rPr>
          <w:b/>
        </w:rPr>
        <w:t>Introduction</w:t>
      </w:r>
    </w:p>
    <w:p>
      <w:pPr>
        <w:pStyle w:val="ISubSectionTitle"/>
      </w:pPr>
      <w:r>
        <w:rPr>
          <w:b/>
        </w:rPr>
        <w:t>Motivation</w:t>
      </w:r>
    </w:p>
    <w:p>
      <w:pPr>
        <w:pStyle w:val="ITex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pStyle w:val="IText"/>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an exception such as explicit consent. The Moroccan Law 09-08 [5], enforced by the CNDP, establishes an analogous regime: it requires a clear legal basis, purpose limitation and proportionality for processing sensitive personal data, and (for the higher-risk cases) prior authorisation from the CNDP rather than a GDPR-style data-protection impact assessment.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constitute biometric data </w:t>
      </w:r>
      <w:r>
        <w:rPr>
          <w:i/>
        </w:rPr>
        <w:t>for the purpose of unique identification</w:t>
      </w:r>
      <w:r>
        <w:t>: they are not used to identify the candidate and, as Section 6.7 shows empirically, cannot be inverted to do so. Consequently, the academic sector faces a deployment gap: institutions must offer scalable remote assessment while avoiding the regulatory and ethical risks of biometric surveillance.</w:t>
      </w:r>
    </w:p>
    <w:p>
      <w:pPr>
        <w:pStyle w:val="ISubSectionTitle"/>
      </w:pPr>
      <w:r>
        <w:rPr>
          <w:b/>
        </w:rPr>
        <w:t>Research Gap</w:t>
      </w:r>
    </w:p>
    <w:p>
      <w:pPr>
        <w:pStyle w:val="IText"/>
      </w:pPr>
      <w:r>
        <w:t>A thorough literature review (Section 2) reveals three structural limitations of the current state of the art:</w:t>
      </w:r>
    </w:p>
    <w:p>
      <w:pPr>
        <w:pStyle w:val="ITex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ITex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ITex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ISubSectionTitle"/>
      </w:pPr>
      <w:r>
        <w:rPr>
          <w:b/>
        </w:rPr>
        <w:t>Contributions</w:t>
      </w:r>
    </w:p>
    <w:p>
      <w:pPr>
        <w:pStyle w:val="IText"/>
      </w:pPr>
      <w:r>
        <w:t>This paper addresses the gap above by presenting a privacy-by-design multi-modal proctoring framework with the following contributions:</w:t>
      </w:r>
    </w:p>
    <w:p>
      <w:pPr>
        <w:pStyle w:val="ITex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ITex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ITex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IText"/>
      </w:pPr>
      <w:r>
        <w:t xml:space="preserve">• </w:t>
      </w:r>
      <w:r>
        <w:rPr>
          <w:b/>
        </w:rPr>
        <w:t>Privacy contribution.</w:t>
      </w:r>
      <w:r>
        <w:t xml:space="preserve"> An adversarial verification experiment using 30 real LibriSpeech speakers shows that the metadata stream cannot be inverted to re-identify candidates (AUC = 0.478, chance level) while the conventional raw-media analogue exposes near-perfect re-identification (AUC = 0.994). We are not aware of a prior proctoring paper that provides quantitative adversarial-privacy evidence of this kind on real speaker data.</w:t>
      </w:r>
    </w:p>
    <w:p>
      <w:pPr>
        <w:pStyle w:val="ISubSectionTitle"/>
      </w:pPr>
      <w:r>
        <w:rPr>
          <w:b/>
        </w:rPr>
        <w:t>Paper Organisation</w:t>
      </w:r>
    </w:p>
    <w:p>
      <w:pPr>
        <w:pStyle w:val="ITex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ISectionTitle"/>
      </w:pPr>
      <w:r>
        <w:rPr>
          <w:b/>
        </w:rPr>
        <w:t>Related Work</w:t>
      </w:r>
    </w:p>
    <w:p>
      <w:pPr>
        <w:pStyle w:val="IText"/>
      </w:pPr>
      <w:r>
        <w:t>We classify the prior literature along five orthogonal axes that are relevant for compliant deployment:</w:t>
      </w:r>
    </w:p>
    <w:p>
      <w:pPr>
        <w:pStyle w:val="IText"/>
      </w:pPr>
      <w:r>
        <w:t xml:space="preserve">• </w:t>
      </w:r>
      <w:r>
        <w:t>(V) Vision-based proctoring,</w:t>
      </w:r>
    </w:p>
    <w:p>
      <w:pPr>
        <w:pStyle w:val="IText"/>
      </w:pPr>
      <w:r>
        <w:t xml:space="preserve">• </w:t>
      </w:r>
      <w:r>
        <w:t>(A) Audio-based proctoring,</w:t>
      </w:r>
    </w:p>
    <w:p>
      <w:pPr>
        <w:pStyle w:val="IText"/>
      </w:pPr>
      <w:r>
        <w:t xml:space="preserve">• </w:t>
      </w:r>
      <w:r>
        <w:t>(M) Multi-modal proctoring,</w:t>
      </w:r>
    </w:p>
    <w:p>
      <w:pPr>
        <w:pStyle w:val="IText"/>
      </w:pPr>
      <w:r>
        <w:t xml:space="preserve">• </w:t>
      </w:r>
      <w:r>
        <w:t>(B) Behavioural biometrics (keystroke, mouse dynamics),</w:t>
      </w:r>
    </w:p>
    <w:p>
      <w:pPr>
        <w:pStyle w:val="IText"/>
      </w:pPr>
      <w:r>
        <w:t xml:space="preserve">• </w:t>
      </w:r>
      <w:r>
        <w:t>(P) Privacy-preserving and federated approaches.</w:t>
      </w:r>
    </w:p>
    <w:p>
      <w:pPr>
        <w:pStyle w:val="ISubSectionTitle"/>
      </w:pPr>
      <w:r>
        <w:rPr>
          <w:b/>
        </w:rPr>
        <w:t>Vision-based Systems (V)</w:t>
      </w:r>
    </w:p>
    <w:p>
      <w:pPr>
        <w:pStyle w:val="ITex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place them squarely within the GDPR Article 9 special-category regime [4].</w:t>
      </w:r>
    </w:p>
    <w:p>
      <w:pPr>
        <w:pStyle w:val="IText"/>
      </w:pPr>
      <w:r>
        <w:t>These approaches share an important limitation: they require either persistent biometric templates (face embeddings) or extensive raw-video retention, both of which conflict with GDPR Article 9 and CNDP Law 09-08.</w:t>
      </w:r>
    </w:p>
    <w:p>
      <w:pPr>
        <w:pStyle w:val="ISubSectionTitle"/>
      </w:pPr>
      <w:r>
        <w:rPr>
          <w:b/>
        </w:rPr>
        <w:t>Audio-based Systems (A)</w:t>
      </w:r>
    </w:p>
    <w:p>
      <w:pPr>
        <w:pStyle w:val="ITex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ISubSectionTitle"/>
      </w:pPr>
      <w:r>
        <w:rPr>
          <w:b/>
        </w:rPr>
        <w:t>Multi-modal Systems (M)</w:t>
      </w:r>
    </w:p>
    <w:p>
      <w:pPr>
        <w:pStyle w:val="ITex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ISubSectionTitle"/>
      </w:pPr>
      <w:r>
        <w:rPr>
          <w:b/>
        </w:rPr>
        <w:t>Behavioural Biometrics (B)</w:t>
      </w:r>
    </w:p>
    <w:p>
      <w:pPr>
        <w:pStyle w:val="ITex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ISubSectionTitle"/>
      </w:pPr>
      <w:r>
        <w:rPr>
          <w:b/>
        </w:rPr>
        <w:t>Privacy-Preserving Approaches (P)</w:t>
      </w:r>
    </w:p>
    <w:p>
      <w:pPr>
        <w:pStyle w:val="ITex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ISubSectionTitle"/>
      </w:pPr>
      <w:r>
        <w:rPr>
          <w:b/>
        </w:rPr>
        <w:t>Synthesis</w:t>
      </w:r>
    </w:p>
    <w:p>
      <w:pPr>
        <w:pStyle w:val="IText"/>
      </w:pPr>
      <w:r>
        <w:t>Table 1 summarizes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ITableCaption"/>
      </w:pPr>
      <w:r>
        <w:rPr>
          <w:b/>
        </w:rPr>
        <w:t xml:space="preserve">Table 1: </w:t>
      </w:r>
      <w:r>
        <w:t>Comparison of representative proctoring systems against the proposed framework. "V/A/M/B/P" denote vision, audio, multi-modal, behavioural-biometric and privacy-preserving categories.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6"/>
        <w:gridCol w:w="866"/>
        <w:gridCol w:w="866"/>
        <w:gridCol w:w="866"/>
        <w:gridCol w:w="866"/>
        <w:gridCol w:w="866"/>
        <w:gridCol w:w="866"/>
        <w:gridCol w:w="866"/>
        <w:gridCol w:w="866"/>
        <w:gridCol w:w="866"/>
        <w:gridCol w:w="866"/>
      </w:tblGrid>
      <w:tr>
        <w:tc>
          <w:tcPr>
            <w:tcW w:type="dxa" w:w="866"/>
          </w:tcPr>
          <w:p>
            <w:pPr>
              <w:pStyle w:val="ITable"/>
            </w:pPr>
            <w:r/>
            <w:r>
              <w:rPr>
                <w:b/>
              </w:rPr>
              <w:t>Work</w:t>
            </w:r>
          </w:p>
        </w:tc>
        <w:tc>
          <w:tcPr>
            <w:tcW w:type="dxa" w:w="866"/>
          </w:tcPr>
          <w:p>
            <w:pPr>
              <w:pStyle w:val="ITable"/>
            </w:pPr>
            <w:r/>
            <w:r>
              <w:rPr>
                <w:b/>
              </w:rPr>
              <w:t>V</w:t>
            </w:r>
          </w:p>
        </w:tc>
        <w:tc>
          <w:tcPr>
            <w:tcW w:type="dxa" w:w="866"/>
          </w:tcPr>
          <w:p>
            <w:pPr>
              <w:pStyle w:val="ITable"/>
            </w:pPr>
            <w:r/>
            <w:r>
              <w:rPr>
                <w:b/>
              </w:rPr>
              <w:t>A</w:t>
            </w:r>
          </w:p>
        </w:tc>
        <w:tc>
          <w:tcPr>
            <w:tcW w:type="dxa" w:w="866"/>
          </w:tcPr>
          <w:p>
            <w:pPr>
              <w:pStyle w:val="ITable"/>
            </w:pPr>
            <w:r/>
            <w:r>
              <w:rPr>
                <w:b/>
              </w:rPr>
              <w:t>M</w:t>
            </w:r>
          </w:p>
        </w:tc>
        <w:tc>
          <w:tcPr>
            <w:tcW w:type="dxa" w:w="866"/>
          </w:tcPr>
          <w:p>
            <w:pPr>
              <w:pStyle w:val="ITable"/>
            </w:pPr>
            <w:r/>
            <w:r>
              <w:rPr>
                <w:b/>
              </w:rPr>
              <w:t>B</w:t>
            </w:r>
          </w:p>
        </w:tc>
        <w:tc>
          <w:tcPr>
            <w:tcW w:type="dxa" w:w="866"/>
          </w:tcPr>
          <w:p>
            <w:pPr>
              <w:pStyle w:val="ITable"/>
            </w:pPr>
            <w:r/>
            <w:r>
              <w:rPr>
                <w:b/>
              </w:rPr>
              <w:t>P</w:t>
            </w:r>
          </w:p>
        </w:tc>
        <w:tc>
          <w:tcPr>
            <w:tcW w:type="dxa" w:w="866"/>
          </w:tcPr>
          <w:p>
            <w:pPr>
              <w:pStyle w:val="ITable"/>
            </w:pPr>
            <w:r/>
            <w:r>
              <w:rPr>
                <w:b/>
              </w:rPr>
              <w:t>Biometric template stored</w:t>
            </w:r>
          </w:p>
        </w:tc>
        <w:tc>
          <w:tcPr>
            <w:tcW w:type="dxa" w:w="866"/>
          </w:tcPr>
          <w:p>
            <w:pPr>
              <w:pStyle w:val="ITable"/>
            </w:pPr>
            <w:r/>
            <w:r>
              <w:rPr>
                <w:b/>
              </w:rPr>
              <w:t>Raw media retained</w:t>
            </w:r>
          </w:p>
        </w:tc>
        <w:tc>
          <w:tcPr>
            <w:tcW w:type="dxa" w:w="866"/>
          </w:tcPr>
          <w:p>
            <w:pPr>
              <w:pStyle w:val="ITable"/>
            </w:pPr>
            <w:r/>
            <w:r>
              <w:rPr>
                <w:b/>
              </w:rPr>
              <w:t>Real-time</w:t>
            </w:r>
          </w:p>
        </w:tc>
        <w:tc>
          <w:tcPr>
            <w:tcW w:type="dxa" w:w="866"/>
          </w:tcPr>
          <w:p>
            <w:pPr>
              <w:pStyle w:val="ITable"/>
            </w:pPr>
            <w:r/>
            <w:r>
              <w:rPr>
                <w:b/>
              </w:rPr>
              <w:t>Quantitative privacy proof</w:t>
            </w:r>
          </w:p>
        </w:tc>
        <w:tc>
          <w:tcPr>
            <w:tcW w:type="dxa" w:w="866"/>
          </w:tcPr>
          <w:p>
            <w:pPr>
              <w:pStyle w:val="ITable"/>
            </w:pPr>
            <w:r/>
            <w:r>
              <w:rPr>
                <w:b/>
              </w:rPr>
              <w:t>GDPR / CNDP alignment</w:t>
            </w:r>
          </w:p>
        </w:tc>
      </w:tr>
      <w:tr>
        <w:tc>
          <w:tcPr>
            <w:tcW w:type="dxa" w:w="866"/>
          </w:tcPr>
          <w:p>
            <w:pPr>
              <w:pStyle w:val="ITable"/>
            </w:pPr>
            <w:r/>
            <w:r>
              <w:t>Atoum et al. (2017) [8]</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Singh et al. (2024) [10]</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Vishal et al. (2025) [11]</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Jung et al. (2021) [20]</w:t>
            </w:r>
          </w:p>
        </w:tc>
        <w:tc>
          <w:tcPr>
            <w:tcW w:type="dxa" w:w="866"/>
          </w:tcPr>
          <w:p>
            <w:pPr>
              <w:pStyle w:val="ITable"/>
            </w:pPr>
            <w:r/>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Voiceprint context</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Masud et al. (2022) [12]</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p>
        </w:tc>
        <w:tc>
          <w:tcPr>
            <w:tcW w:type="dxa" w:w="866"/>
          </w:tcPr>
          <w:p>
            <w:pPr>
              <w:pStyle w:val="ITable"/>
            </w:pPr>
            <w:r/>
            <w:r>
              <w:t>Yes</w:t>
            </w:r>
          </w:p>
        </w:tc>
        <w:tc>
          <w:tcPr>
            <w:tcW w:type="dxa" w:w="866"/>
          </w:tcPr>
          <w:p>
            <w:pPr>
              <w:pStyle w:val="ITable"/>
            </w:pPr>
            <w:r/>
            <w:r>
              <w:t>Yes</w:t>
            </w:r>
          </w:p>
        </w:tc>
        <w:tc>
          <w:tcPr>
            <w:tcW w:type="dxa" w:w="866"/>
          </w:tcPr>
          <w:p>
            <w:pPr>
              <w:pStyle w:val="ITable"/>
            </w:pPr>
            <w:r/>
            <w:r>
              <w:t>Yes</w:t>
            </w:r>
          </w:p>
        </w:tc>
        <w:tc>
          <w:tcPr>
            <w:tcW w:type="dxa" w:w="866"/>
          </w:tcPr>
          <w:p>
            <w:pPr>
              <w:pStyle w:val="ITable"/>
            </w:pPr>
            <w:r/>
            <w:r>
              <w:t>No</w:t>
            </w:r>
          </w:p>
        </w:tc>
        <w:tc>
          <w:tcPr>
            <w:tcW w:type="dxa" w:w="866"/>
          </w:tcPr>
          <w:p>
            <w:pPr>
              <w:pStyle w:val="ITable"/>
            </w:pPr>
            <w:r/>
            <w:r>
              <w:t>No</w:t>
            </w:r>
          </w:p>
        </w:tc>
      </w:tr>
      <w:tr>
        <w:tc>
          <w:tcPr>
            <w:tcW w:type="dxa" w:w="866"/>
          </w:tcPr>
          <w:p>
            <w:pPr>
              <w:pStyle w:val="ITable"/>
            </w:pPr>
            <w:r/>
            <w:r>
              <w:t>McMahan et al. (2017), FedAvg [25]</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Bonawitz et al. (2017), SecAgg [26]</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n/a (framework)</w:t>
            </w:r>
          </w:p>
        </w:tc>
        <w:tc>
          <w:tcPr>
            <w:tcW w:type="dxa" w:w="866"/>
          </w:tcPr>
          <w:p>
            <w:pPr>
              <w:pStyle w:val="ITable"/>
            </w:pPr>
            <w:r/>
            <w:r>
              <w:t>No</w:t>
            </w:r>
          </w:p>
        </w:tc>
        <w:tc>
          <w:tcPr>
            <w:tcW w:type="dxa" w:w="866"/>
          </w:tcPr>
          <w:p>
            <w:pPr>
              <w:pStyle w:val="ITable"/>
            </w:pPr>
            <w:r/>
            <w:r>
              <w:t>Yes</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Du et al. (2024), PrivateGaze [27]</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Obfuscated</w:t>
            </w:r>
          </w:p>
        </w:tc>
        <w:tc>
          <w:tcPr>
            <w:tcW w:type="dxa" w:w="866"/>
          </w:tcPr>
          <w:p>
            <w:pPr>
              <w:pStyle w:val="ITable"/>
            </w:pPr>
            <w:r/>
            <w:r>
              <w:t>No</w:t>
            </w:r>
          </w:p>
        </w:tc>
        <w:tc>
          <w:tcPr>
            <w:tcW w:type="dxa" w:w="866"/>
          </w:tcPr>
          <w:p>
            <w:pPr>
              <w:pStyle w:val="ITable"/>
            </w:pPr>
            <w:r/>
            <w:r>
              <w:t>Near real-time</w:t>
            </w:r>
          </w:p>
        </w:tc>
        <w:tc>
          <w:tcPr>
            <w:tcW w:type="dxa" w:w="866"/>
          </w:tcPr>
          <w:p>
            <w:pPr>
              <w:pStyle w:val="ITable"/>
            </w:pPr>
            <w:r/>
            <w:r>
              <w:t>No</w:t>
            </w:r>
          </w:p>
        </w:tc>
        <w:tc>
          <w:tcPr>
            <w:tcW w:type="dxa" w:w="866"/>
          </w:tcPr>
          <w:p>
            <w:pPr>
              <w:pStyle w:val="ITable"/>
            </w:pPr>
            <w:r/>
            <w:r>
              <w:t>Partial</w:t>
            </w:r>
          </w:p>
        </w:tc>
      </w:tr>
      <w:tr>
        <w:tc>
          <w:tcPr>
            <w:tcW w:type="dxa" w:w="866"/>
          </w:tcPr>
          <w:p>
            <w:pPr>
              <w:pStyle w:val="ITable"/>
            </w:pPr>
            <w:r/>
            <w:r>
              <w:t>Bozkir et al. (2021), DP eye-tracking [28]</w:t>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p>
        </w:tc>
        <w:tc>
          <w:tcPr>
            <w:tcW w:type="dxa" w:w="866"/>
          </w:tcPr>
          <w:p>
            <w:pPr>
              <w:pStyle w:val="ITable"/>
            </w:pPr>
            <w:r/>
            <w:r>
              <w:t>✓</w:t>
            </w:r>
          </w:p>
        </w:tc>
        <w:tc>
          <w:tcPr>
            <w:tcW w:type="dxa" w:w="866"/>
          </w:tcPr>
          <w:p>
            <w:pPr>
              <w:pStyle w:val="ITable"/>
            </w:pPr>
            <w:r/>
            <w:r>
              <w:t>No</w:t>
            </w:r>
          </w:p>
        </w:tc>
        <w:tc>
          <w:tcPr>
            <w:tcW w:type="dxa" w:w="866"/>
          </w:tcPr>
          <w:p>
            <w:pPr>
              <w:pStyle w:val="ITable"/>
            </w:pPr>
            <w:r/>
            <w:r>
              <w:t>No</w:t>
            </w:r>
          </w:p>
        </w:tc>
        <w:tc>
          <w:tcPr>
            <w:tcW w:type="dxa" w:w="866"/>
          </w:tcPr>
          <w:p>
            <w:pPr>
              <w:pStyle w:val="ITable"/>
            </w:pPr>
            <w:r/>
            <w:r>
              <w:t>No</w:t>
            </w:r>
          </w:p>
        </w:tc>
        <w:tc>
          <w:tcPr>
            <w:tcW w:type="dxa" w:w="866"/>
          </w:tcPr>
          <w:p>
            <w:pPr>
              <w:pStyle w:val="ITable"/>
            </w:pPr>
            <w:r/>
            <w:r>
              <w:t>DP bound</w:t>
            </w:r>
          </w:p>
        </w:tc>
        <w:tc>
          <w:tcPr>
            <w:tcW w:type="dxa" w:w="866"/>
          </w:tcPr>
          <w:p>
            <w:pPr>
              <w:pStyle w:val="ITable"/>
            </w:pPr>
            <w:r/>
            <w:r>
              <w:t>Partial</w:t>
            </w:r>
          </w:p>
        </w:tc>
      </w:tr>
      <w:tr>
        <w:tc>
          <w:tcPr>
            <w:tcW w:type="dxa" w:w="866"/>
          </w:tcPr>
          <w:p>
            <w:pPr>
              <w:pStyle w:val="ITable"/>
            </w:pPr>
            <w:r/>
            <w:r>
              <w:rPr>
                <w:b/>
              </w:rPr>
              <w:t>This work</w:t>
            </w:r>
          </w:p>
        </w:tc>
        <w:tc>
          <w:tcPr>
            <w:tcW w:type="dxa" w:w="866"/>
          </w:tcPr>
          <w:p>
            <w:pPr>
              <w:pStyle w:val="ITable"/>
            </w:pPr>
            <w:r/>
            <w:r>
              <w:t>✓</w:t>
            </w:r>
          </w:p>
        </w:tc>
        <w:tc>
          <w:tcPr>
            <w:tcW w:type="dxa" w:w="866"/>
          </w:tcPr>
          <w:p>
            <w:pPr>
              <w:pStyle w:val="ITable"/>
            </w:pPr>
            <w:r/>
            <w:r>
              <w:t>✓</w:t>
            </w:r>
          </w:p>
        </w:tc>
        <w:tc>
          <w:tcPr>
            <w:tcW w:type="dxa" w:w="866"/>
          </w:tcPr>
          <w:p>
            <w:pPr>
              <w:pStyle w:val="ITable"/>
            </w:pPr>
            <w:r/>
            <w:r>
              <w:t>✓</w:t>
            </w:r>
          </w:p>
        </w:tc>
        <w:tc>
          <w:tcPr>
            <w:tcW w:type="dxa" w:w="866"/>
          </w:tcPr>
          <w:p>
            <w:pPr>
              <w:pStyle w:val="ITable"/>
            </w:pPr>
            <w:r/>
            <w:r/>
          </w:p>
        </w:tc>
        <w:tc>
          <w:tcPr>
            <w:tcW w:type="dxa" w:w="866"/>
          </w:tcPr>
          <w:p>
            <w:pPr>
              <w:pStyle w:val="ITable"/>
            </w:pPr>
            <w:r/>
            <w:r>
              <w:t>✓</w:t>
            </w:r>
          </w:p>
        </w:tc>
        <w:tc>
          <w:tcPr>
            <w:tcW w:type="dxa" w:w="866"/>
          </w:tcPr>
          <w:p>
            <w:pPr>
              <w:pStyle w:val="ITable"/>
            </w:pPr>
            <w:r/>
            <w:r>
              <w:rPr>
                <w:b/>
              </w:rPr>
              <w:t>No</w:t>
            </w:r>
          </w:p>
        </w:tc>
        <w:tc>
          <w:tcPr>
            <w:tcW w:type="dxa" w:w="866"/>
          </w:tcPr>
          <w:p>
            <w:pPr>
              <w:pStyle w:val="ITable"/>
            </w:pPr>
            <w:r/>
            <w:r>
              <w:rPr>
                <w:b/>
              </w:rPr>
              <w:t>No</w:t>
            </w:r>
          </w:p>
        </w:tc>
        <w:tc>
          <w:tcPr>
            <w:tcW w:type="dxa" w:w="866"/>
          </w:tcPr>
          <w:p>
            <w:pPr>
              <w:pStyle w:val="ITable"/>
            </w:pPr>
            <w:r/>
            <w:r>
              <w:rPr>
                <w:b/>
              </w:rPr>
              <w:t>Yes</w:t>
            </w:r>
          </w:p>
        </w:tc>
        <w:tc>
          <w:tcPr>
            <w:tcW w:type="dxa" w:w="866"/>
          </w:tcPr>
          <w:p>
            <w:pPr>
              <w:pStyle w:val="ITable"/>
            </w:pPr>
            <w:r/>
            <w:r>
              <w:rPr>
                <w:b/>
              </w:rPr>
              <w:t>Yes (re-ID AUC 0.48)</w:t>
            </w:r>
          </w:p>
        </w:tc>
        <w:tc>
          <w:tcPr>
            <w:tcW w:type="dxa" w:w="866"/>
          </w:tcPr>
          <w:p>
            <w:pPr>
              <w:pStyle w:val="ITable"/>
            </w:pPr>
            <w:r/>
            <w:r>
              <w:rPr>
                <w:b/>
              </w:rPr>
              <w:t>Yes</w:t>
            </w:r>
          </w:p>
        </w:tc>
      </w:tr>
    </w:tbl>
    <w:p>
      <w:pPr>
        <w:sectPr>
          <w:type w:val="continuous"/>
          <w:pgSz w:w="11906" w:h="16838"/>
          <w:pgMar w:top="1644" w:right="1077" w:bottom="1134" w:left="1304" w:header="936" w:footer="720"/>
          <w:cols w:num="1" w:space="284"/>
        </w:sectPr>
      </w:pPr>
    </w:p>
    <w:p>
      <w:pPr>
        <w:pStyle w:val="ISectionTitle"/>
      </w:pPr>
      <w:r>
        <w:rPr>
          <w:b/>
        </w:rPr>
        <w:t>System Architecture</w:t>
      </w:r>
    </w:p>
    <w:p>
      <w:pPr>
        <w:pStyle w:val="ISubSectionTitle"/>
      </w:pPr>
      <w:r>
        <w:rPr>
          <w:b/>
        </w:rPr>
        <w:t>Design Principles</w:t>
      </w:r>
    </w:p>
    <w:p>
      <w:pPr>
        <w:pStyle w:val="IText"/>
      </w:pPr>
      <w:r>
        <w:t>The architecture follows two guiding principles motivated by Article 25 of GDPR ("Data protection by design and by default") and CNDP guidance note [6]:</w:t>
      </w:r>
    </w:p>
    <w:p>
      <w:pPr>
        <w:pStyle w:val="ITex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ITex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IText"/>
      </w:pPr>
      <w:r>
        <w:t>Figure 1 shows the end-to-end pipeline.</w:t>
      </w:r>
    </w:p>
    <w:p>
      <w:pPr>
        <w:pStyle w:val="ISubSectionTitle"/>
      </w:pPr>
      <w:r>
        <w:rPr>
          <w:b/>
        </w:rPr>
        <w:t>Pipeline Overview</w:t>
      </w:r>
    </w:p>
    <w:p>
      <w:pPr>
        <w:pStyle w:val="IText"/>
      </w:pPr>
      <w:r>
        <w:t>The pipeline (Figure 1) consists of four logical stages:</w:t>
      </w:r>
    </w:p>
    <w:p>
      <w:pPr>
        <w:pStyle w:val="IText"/>
      </w:pPr>
      <w:r>
        <w:rPr>
          <w:b/>
        </w:rPr>
        <w:t xml:space="preserve">1. </w:t>
      </w:r>
      <w:r>
        <w:rPr>
          <w:b/>
        </w:rPr>
        <w:t>Sensors.</w:t>
      </w:r>
      <w:r>
        <w:t xml:space="preserve"> Camera (720p webcam) and microphone are accessed in a volatile memory buffer.</w:t>
      </w:r>
    </w:p>
    <w:p>
      <w:pPr>
        <w:pStyle w:val="IText"/>
      </w:pPr>
      <w:r>
        <w:rPr>
          <w:b/>
        </w:rPr>
        <w:t xml:space="preserve">2. </w:t>
      </w:r>
      <w:r>
        <w:rPr>
          <w:b/>
        </w:rPr>
        <w:t>Modality encoders.</w:t>
      </w:r>
      <w:r>
        <w:t xml:space="preserve"> YOLOv8-s for objects, MediaPipe FaceMesh for behavioural cues, Whisper-Base encoder in content-free mode for acoustic anomaly.</w:t>
      </w:r>
    </w:p>
    <w:p>
      <w:pPr>
        <w:pStyle w:val="IText"/>
      </w:pPr>
      <w:r>
        <w:rPr>
          <w:b/>
        </w:rPr>
        <w:t xml:space="preserve">3. </w:t>
      </w:r>
      <w:r>
        <w:rPr>
          <w:b/>
        </w:rPr>
        <w:t>Suspicion Index Fusion Model.</w:t>
      </w:r>
      <w:r>
        <w:t xml:space="preserve"> Combines the modality outputs into a calibrated risk score.</w:t>
      </w:r>
    </w:p>
    <w:p>
      <w:pPr>
        <w:pStyle w:val="ITex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3"/>
                    <a:stretch>
                      <a:fillRect/>
                    </a:stretch>
                  </pic:blipFill>
                  <pic:spPr>
                    <a:xfrm>
                      <a:off x="0" y="0"/>
                      <a:ext cx="5852160" cy="2959189"/>
                    </a:xfrm>
                    <a:prstGeom prst="rect"/>
                  </pic:spPr>
                </pic:pic>
              </a:graphicData>
            </a:graphic>
          </wp:inline>
        </w:drawing>
      </w:r>
    </w:p>
    <w:p>
      <w:pPr>
        <w:pStyle w:val="IFigureCaption"/>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ISubSectionTitle"/>
      </w:pPr>
      <w:r>
        <w:rPr>
          <w:b/>
        </w:rPr>
        <w:t>Threat Model</w:t>
      </w:r>
    </w:p>
    <w:p>
      <w:pPr>
        <w:pStyle w:val="ITex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IText"/>
      </w:pPr>
      <w:r>
        <w:t xml:space="preserve">• </w:t>
      </w:r>
      <w:r>
        <w:rPr>
          <w:b/>
        </w:rPr>
        <w:t>Internal observer.</w:t>
      </w:r>
      <w:r>
        <w:t xml:space="preserve"> Has read access to the event log. Goal: re-identify candidates from the metadata.</w:t>
      </w:r>
    </w:p>
    <w:p>
      <w:pPr>
        <w:pStyle w:val="IText"/>
      </w:pPr>
      <w:r>
        <w:t xml:space="preserve">• </w:t>
      </w:r>
      <w:r>
        <w:rPr>
          <w:b/>
        </w:rPr>
        <w:t>External observer.</w:t>
      </w:r>
      <w:r>
        <w:t xml:space="preserve"> Has read access to the encrypted artefacts written to disk by the system. Goal: reconstruct video, audio, or identifying templates.</w:t>
      </w:r>
    </w:p>
    <w:p>
      <w:pPr>
        <w:pStyle w:val="IText"/>
      </w:pPr>
      <w:r>
        <w:t xml:space="preserve">• </w:t>
      </w:r>
      <w:r>
        <w:rPr>
          <w:b/>
        </w:rPr>
        <w:t>Curious operator.</w:t>
      </w:r>
      <w:r>
        <w:t xml:space="preserve"> Has read access to model artefacts. Goal: extract biometric template embeddings from model state.</w:t>
      </w:r>
    </w:p>
    <w:p>
      <w:pPr>
        <w:pStyle w:val="IText"/>
      </w:pPr>
      <w:r>
        <w:t xml:space="preserve">A system is </w:t>
      </w:r>
      <w:r>
        <w:rPr>
          <w:i/>
        </w:rPr>
        <w:t>privacy-preserving</w:t>
      </w:r>
      <w:r>
        <w:t xml:space="preserve"> with respect to this threat model if all three adversaries are limited to chance-level identification accuracy. Section 6.5 reports an empirical lower bound on this property.</w:t>
      </w:r>
    </w:p>
    <w:p>
      <w:pPr>
        <w:pStyle w:val="ISectionTitle"/>
      </w:pPr>
      <w:r>
        <w:rPr>
          <w:b/>
        </w:rPr>
        <w:t>Methodology</w:t>
      </w:r>
    </w:p>
    <w:p>
      <w:pPr>
        <w:pStyle w:val="ISubSectionTitle"/>
      </w:pPr>
      <w:r>
        <w:rPr>
          <w:b/>
        </w:rPr>
        <w:t>Visual Subsystem</w:t>
      </w:r>
    </w:p>
    <w:p>
      <w:pPr>
        <w:pStyle w:val="IText"/>
      </w:pPr>
      <w:r>
        <w:t>We use YOLOv8-s [13] pre-trained on COCO [14]. The model produces, for each frame, a set of bounding boxes with class probabilities. We retain only the proctoring-relevant subset:</w:t>
      </w:r>
    </w:p>
    <w:p>
      <w:pPr>
        <w:pStyle w:val="IText"/>
        <w:jc w:val="center"/>
      </w:pPr>
      <w:r>
        <w:t>C = {cell phone, book, laptop, tv, keyboard, mouse, person}</w:t>
      </w:r>
    </w:p>
    <w:p>
      <w:pPr>
        <w:pStyle w:val="IText"/>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pStyle w:val="IText"/>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ITex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ITex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ITex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pStyle w:val="IText"/>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ISubSectionTitle"/>
      </w:pPr>
      <w:r>
        <w:rPr>
          <w:b/>
        </w:rPr>
        <w:t>Acoustic Subsystem (Content-Free Whisper)</w:t>
      </w:r>
    </w:p>
    <w:p>
      <w:pPr>
        <w:pStyle w:val="ITex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IText"/>
      </w:pPr>
      <w:r>
        <w:t xml:space="preserve">• </w:t>
      </w:r>
      <w:r>
        <w:rPr>
          <w:b/>
        </w:rPr>
        <w:t>Voice Activity Ratio</w:t>
      </w:r>
      <w:r>
        <w:t xml:space="preserve"> </w:t>
      </w:r>
      <w:r>
        <w:t>VAR(a)</w:t>
      </w:r>
      <w:r>
        <w:t>: fraction of short-time frames whose energy exceeds 1.4× the median.</w:t>
      </w:r>
    </w:p>
    <w:p>
      <w:pPr>
        <w:pStyle w:val="IText"/>
      </w:pPr>
      <w:r>
        <w:t xml:space="preserve">• </w:t>
      </w:r>
      <w:r>
        <w:rPr>
          <w:b/>
        </w:rPr>
        <w:t>Pitch fluctuation</w:t>
      </w:r>
      <w:r>
        <w:t xml:space="preserve"> </w:t>
      </w:r>
      <w:r>
        <w:t>PFV(a)</w:t>
      </w:r>
      <w:r>
        <w:t>: median absolute deviation of the auto-correlation-based pitch estimate across active frames, normalised by the median.</w:t>
      </w:r>
    </w:p>
    <w:p>
      <w:pPr>
        <w:pStyle w:val="IText"/>
      </w:pPr>
      <w:r>
        <w:t xml:space="preserve">• </w:t>
      </w:r>
      <w:r>
        <w:rPr>
          <w:b/>
        </w:rPr>
        <w:t>Spectral centroid fluctuation</w:t>
      </w:r>
      <w:r>
        <w:t xml:space="preserve"> </w:t>
      </w:r>
      <w:r>
        <w:t>CFV(a)</w:t>
      </w:r>
      <w:r>
        <w:t>: same as PFV but over the spectral centroid.</w:t>
      </w:r>
    </w:p>
    <w:p>
      <w:pPr>
        <w:pStyle w:val="IText"/>
      </w:pPr>
      <w:r>
        <w:t xml:space="preserve">• </w:t>
      </w:r>
      <w:r>
        <w:rPr>
          <w:b/>
        </w:rPr>
        <w:t>High-band ratio</w:t>
      </w:r>
      <w:r>
        <w:t xml:space="preserve"> </w:t>
      </w:r>
      <w:r>
        <w:t>HBR(a)</w:t>
      </w:r>
      <w:r>
        <w:t>: ratio of energy in [1.5–6.5 kHz] over [60–1500 Hz].</w:t>
      </w:r>
    </w:p>
    <w:p>
      <w:pPr>
        <w:pStyle w:val="IText"/>
      </w:pPr>
      <w:r>
        <w:t>The secondary-speaker probability is then computed by an empirically calibrated logistic mapping:</w:t>
      </w:r>
    </w:p>
    <w:p>
      <w:pPr>
        <w:pStyle w:val="ITex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pStyle w:val="IText"/>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ISubSectionTitle"/>
      </w:pPr>
      <w:r>
        <w:rPr>
          <w:b/>
        </w:rPr>
        <w:t>Suspicion Index Fusion Model</w:t>
      </w:r>
    </w:p>
    <w:p>
      <w:pPr>
        <w:pStyle w:val="IText"/>
      </w:pPr>
      <w:r>
        <w:t xml:space="preserve">For each session we summarise the metadata stream into a 12-dimensional feature vector </w:t>
      </w:r>
      <w:r>
        <w:t>x ∈ ℝ</w:t>
      </w:r>
      <w:r>
        <w:rPr>
          <w:vertAlign w:val="superscript"/>
        </w:rPr>
        <w:t>12</w:t>
      </w:r>
      <w:r>
        <w:t>:</w:t>
      </w:r>
    </w:p>
    <w:p>
      <w:pPr>
        <w:pStyle w:val="ITex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pStyle w:val="IText"/>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ITex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IText"/>
      </w:pPr>
      <w:r>
        <w:rPr>
          <w:b/>
        </w:rPr>
        <w:t xml:space="preserve">2. </w:t>
      </w:r>
      <w:r>
        <w:rPr>
          <w:b/>
        </w:rPr>
        <w:t>L2-regularised logistic regression.</w:t>
      </w:r>
    </w:p>
    <w:p>
      <w:pPr>
        <w:pStyle w:val="IText"/>
      </w:pPr>
      <w:r>
        <w:rPr>
          <w:b/>
        </w:rPr>
        <w:t xml:space="preserve">3. </w:t>
      </w:r>
      <w:r>
        <w:rPr>
          <w:b/>
        </w:rPr>
        <w:t>Random forest</w:t>
      </w:r>
      <w:r>
        <w:t xml:space="preserve"> [42] with 200 trees, max depth 8.</w:t>
      </w:r>
    </w:p>
    <w:p>
      <w:pPr>
        <w:pStyle w:val="IText"/>
      </w:pPr>
      <w:r>
        <w:rPr>
          <w:b/>
        </w:rPr>
        <w:t xml:space="preserve">4. </w:t>
      </w:r>
      <w:r>
        <w:rPr>
          <w:b/>
        </w:rPr>
        <w:t>Multi-layer perceptron</w:t>
      </w:r>
      <w:r>
        <w:t xml:space="preserve"> (32, 16) with StandardScaler preprocessing.</w:t>
      </w:r>
    </w:p>
    <w:p>
      <w:pPr>
        <w:pStyle w:val="IText"/>
      </w:pPr>
      <w:r>
        <w:rPr>
          <w:b/>
        </w:rPr>
        <w:t xml:space="preserve">5. </w:t>
      </w:r>
      <w:r>
        <w:rPr>
          <w:b/>
        </w:rPr>
        <w:t>Gaussian naive Bayes</w:t>
      </w:r>
      <w:r>
        <w:t>.</w:t>
      </w:r>
    </w:p>
    <w:p>
      <w:pPr>
        <w:pStyle w:val="IText"/>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ISubSectionTitle"/>
      </w:pPr>
      <w:r>
        <w:rPr>
          <w:b/>
        </w:rPr>
        <w:t>Data-Flow and Privacy Guarantees</w:t>
      </w:r>
    </w:p>
    <w:p>
      <w:pPr>
        <w:pStyle w:val="IText"/>
      </w:pPr>
      <w:r>
        <w:t>The event log written to disk has the schema</w:t>
      </w:r>
    </w:p>
    <w:p>
      <w:pPr>
        <w:pStyle w:val="IText"/>
      </w:pPr>
      <w:r>
        <w:t>``` {event_type: string, confidence_or_probability: float in [0,1], timestamp: ISO-8601, module: 'visual'|'acoustic'|'behaviour'|'fusion'}</w:t>
      </w:r>
    </w:p>
    <w:p>
      <w:pPr>
        <w:pStyle w:val="IText"/>
      </w:pPr>
      <w:r>
        <w:t>```</w:t>
      </w:r>
    </w:p>
    <w:p>
      <w:pPr>
        <w:pStyle w:val="IText"/>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4"/>
                    <a:stretch>
                      <a:fillRect/>
                    </a:stretch>
                  </pic:blipFill>
                  <pic:spPr>
                    <a:xfrm>
                      <a:off x="0" y="0"/>
                      <a:ext cx="5852160" cy="2394065"/>
                    </a:xfrm>
                    <a:prstGeom prst="rect"/>
                  </pic:spPr>
                </pic:pic>
              </a:graphicData>
            </a:graphic>
          </wp:inline>
        </w:drawing>
      </w:r>
    </w:p>
    <w:p>
      <w:pPr>
        <w:pStyle w:val="IFigureCaption"/>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ISectionTitle"/>
      </w:pPr>
      <w:r>
        <w:rPr>
          <w:b/>
        </w:rPr>
        <w:t>Experimental Setup</w:t>
      </w:r>
    </w:p>
    <w:p>
      <w:pPr>
        <w:pStyle w:val="ISubSectionTitle"/>
      </w:pPr>
      <w:r>
        <w:rPr>
          <w:b/>
        </w:rPr>
        <w:t>Hardware</w:t>
      </w:r>
    </w:p>
    <w:p>
      <w:pPr>
        <w:pStyle w:val="ITex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ISubSectionTitle"/>
      </w:pPr>
      <w:r>
        <w:rPr>
          <w:b/>
        </w:rPr>
        <w:t>Datasets</w:t>
      </w:r>
    </w:p>
    <w:p>
      <w:pPr>
        <w:pStyle w:val="IText"/>
      </w:pPr>
      <w:r>
        <w:t>We use three datasets, each chosen to maximize realism while respecting privacy constraints:</w:t>
      </w:r>
    </w:p>
    <w:p>
      <w:pPr>
        <w:pStyle w:val="ITex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ITex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IText"/>
      </w:pPr>
      <w:r>
        <w:t xml:space="preserve">• </w:t>
      </w:r>
      <w:r>
        <w:rPr>
          <w:b/>
        </w:rPr>
        <w:t>D3, Behaviour benchmark.</w:t>
      </w:r>
      <w:r>
        <w:t xml:space="preserve"> Real MediaPipe FaceMesh landmark trajectories extracted from a held-out subset of public-domain face videos that are licensed for academic use. Landmarks are computed live, the underlying video frames are discarded, and only the geometric descriptors of Section 4.1 are persisted. This protocol matches the deployed configuration of the proctoring pipeline.</w:t>
      </w:r>
    </w:p>
    <w:p>
      <w:pPr>
        <w:pStyle w:val="ITex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Crucially, the features fed to the fusion model are real per-clip outputs from YOLOv8, Whisper-Base, and FaceMesh) not statistical distributions designed by the authors, so the fusion model is trained and evaluated on the same kind of evidence it would receive in deployment.</w:t>
      </w:r>
    </w:p>
    <w:p>
      <w:pPr>
        <w:pStyle w:val="IText"/>
      </w:pPr>
      <w:r>
        <w:t>All datasets, generators, and trained-model state are reproducible from a fixed random seed (42).</w:t>
      </w:r>
    </w:p>
    <w:p>
      <w:pPr>
        <w:pStyle w:val="ISubSectionTitle"/>
      </w:pPr>
      <w:r>
        <w:rPr>
          <w:b/>
        </w:rPr>
        <w:t>Evaluation Metrics</w:t>
      </w:r>
    </w:p>
    <w:p>
      <w:pPr>
        <w:pStyle w:val="ITex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pStyle w:val="IText"/>
      </w:pPr>
      <w:r>
        <w:t>Latency is measured per-call with `time.perf_counter()` after a 3-call warmup; we report mean, standard deviation, median, p95, and p99 in milliseconds. Memory footprint is measured via `resource.getrusage`.</w:t>
      </w:r>
    </w:p>
    <w:p>
      <w:pPr>
        <w:pStyle w:val="ISectionTitle"/>
      </w:pPr>
      <w:r>
        <w:rPr>
          <w:b/>
        </w:rPr>
        <w:t>Results</w:t>
      </w:r>
    </w:p>
    <w:p>
      <w:pPr>
        <w:pStyle w:val="ISubSectionTitle"/>
      </w:pPr>
      <w:r>
        <w:rPr>
          <w:b/>
        </w:rPr>
        <w:t>Visual Subsystem (D1, real COCO data)</w:t>
      </w:r>
    </w:p>
    <w:p>
      <w:pPr>
        <w:pStyle w:val="ITex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ITableCaption"/>
      </w:pPr>
      <w:r>
        <w:rPr>
          <w:b/>
        </w:rPr>
        <w:t xml:space="preserve">Table 2: </w:t>
      </w:r>
      <w:r>
        <w:t>YOLOv8-s on the COCO val2017 proctoring subset.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Class</w:t>
            </w:r>
          </w:p>
        </w:tc>
        <w:tc>
          <w:tcPr>
            <w:tcW w:type="dxa" w:w="1361"/>
          </w:tcPr>
          <w:p>
            <w:pPr>
              <w:pStyle w:val="ITable"/>
            </w:pPr>
            <w:r/>
            <w:r>
              <w:rPr>
                <w:b/>
              </w:rPr>
              <w:t>Ground truth</w:t>
            </w:r>
          </w:p>
        </w:tc>
        <w:tc>
          <w:tcPr>
            <w:tcW w:type="dxa" w:w="1361"/>
          </w:tcPr>
          <w:p>
            <w:pPr>
              <w:pStyle w:val="ITable"/>
            </w:pPr>
            <w:r/>
            <w:r>
              <w:rPr>
                <w:b/>
              </w:rPr>
              <w:t>Predictions</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F1</w:t>
            </w:r>
          </w:p>
        </w:tc>
        <w:tc>
          <w:tcPr>
            <w:tcW w:type="dxa" w:w="1361"/>
          </w:tcPr>
          <w:p>
            <w:pPr>
              <w:pStyle w:val="ITable"/>
            </w:pPr>
            <w:r/>
            <w:r>
              <w:rPr>
                <w:b/>
              </w:rPr>
              <w:t>AP@0.5</w:t>
            </w:r>
          </w:p>
        </w:tc>
      </w:tr>
      <w:tr>
        <w:tc>
          <w:tcPr>
            <w:tcW w:type="dxa" w:w="1361"/>
          </w:tcPr>
          <w:p>
            <w:pPr>
              <w:pStyle w:val="ITable"/>
            </w:pPr>
            <w:r/>
            <w:r>
              <w:t>person</w:t>
            </w:r>
          </w:p>
        </w:tc>
        <w:tc>
          <w:tcPr>
            <w:tcW w:type="dxa" w:w="1361"/>
          </w:tcPr>
          <w:p>
            <w:pPr>
              <w:pStyle w:val="ITable"/>
            </w:pPr>
            <w:r/>
            <w:r>
              <w:t>449</w:t>
            </w:r>
          </w:p>
        </w:tc>
        <w:tc>
          <w:tcPr>
            <w:tcW w:type="dxa" w:w="1361"/>
          </w:tcPr>
          <w:p>
            <w:pPr>
              <w:pStyle w:val="ITable"/>
            </w:pPr>
            <w:r/>
            <w:r>
              <w:t>356</w:t>
            </w:r>
          </w:p>
        </w:tc>
        <w:tc>
          <w:tcPr>
            <w:tcW w:type="dxa" w:w="1361"/>
          </w:tcPr>
          <w:p>
            <w:pPr>
              <w:pStyle w:val="ITable"/>
            </w:pPr>
            <w:r/>
            <w:r>
              <w:t>0.843</w:t>
            </w:r>
          </w:p>
        </w:tc>
        <w:tc>
          <w:tcPr>
            <w:tcW w:type="dxa" w:w="1361"/>
          </w:tcPr>
          <w:p>
            <w:pPr>
              <w:pStyle w:val="ITable"/>
            </w:pPr>
            <w:r/>
            <w:r>
              <w:t>0.668</w:t>
            </w:r>
          </w:p>
        </w:tc>
        <w:tc>
          <w:tcPr>
            <w:tcW w:type="dxa" w:w="1361"/>
          </w:tcPr>
          <w:p>
            <w:pPr>
              <w:pStyle w:val="ITable"/>
            </w:pPr>
            <w:r/>
            <w:r>
              <w:t>0.745</w:t>
            </w:r>
          </w:p>
        </w:tc>
        <w:tc>
          <w:tcPr>
            <w:tcW w:type="dxa" w:w="1361"/>
          </w:tcPr>
          <w:p>
            <w:pPr>
              <w:pStyle w:val="ITable"/>
            </w:pPr>
            <w:r/>
            <w:r>
              <w:t>0.624</w:t>
            </w:r>
          </w:p>
        </w:tc>
      </w:tr>
      <w:tr>
        <w:tc>
          <w:tcPr>
            <w:tcW w:type="dxa" w:w="1361"/>
          </w:tcPr>
          <w:p>
            <w:pPr>
              <w:pStyle w:val="ITable"/>
            </w:pPr>
            <w:r/>
            <w:r>
              <w:t>tv</w:t>
            </w:r>
          </w:p>
        </w:tc>
        <w:tc>
          <w:tcPr>
            <w:tcW w:type="dxa" w:w="1361"/>
          </w:tcPr>
          <w:p>
            <w:pPr>
              <w:pStyle w:val="ITable"/>
            </w:pPr>
            <w:r/>
            <w:r>
              <w:t>128</w:t>
            </w:r>
          </w:p>
        </w:tc>
        <w:tc>
          <w:tcPr>
            <w:tcW w:type="dxa" w:w="1361"/>
          </w:tcPr>
          <w:p>
            <w:pPr>
              <w:pStyle w:val="ITable"/>
            </w:pPr>
            <w:r/>
            <w:r>
              <w:t>104</w:t>
            </w:r>
          </w:p>
        </w:tc>
        <w:tc>
          <w:tcPr>
            <w:tcW w:type="dxa" w:w="1361"/>
          </w:tcPr>
          <w:p>
            <w:pPr>
              <w:pStyle w:val="ITable"/>
            </w:pPr>
            <w:r/>
            <w:r>
              <w:t>0.875</w:t>
            </w:r>
          </w:p>
        </w:tc>
        <w:tc>
          <w:tcPr>
            <w:tcW w:type="dxa" w:w="1361"/>
          </w:tcPr>
          <w:p>
            <w:pPr>
              <w:pStyle w:val="ITable"/>
            </w:pPr>
            <w:r/>
            <w:r>
              <w:t>0.711</w:t>
            </w:r>
          </w:p>
        </w:tc>
        <w:tc>
          <w:tcPr>
            <w:tcW w:type="dxa" w:w="1361"/>
          </w:tcPr>
          <w:p>
            <w:pPr>
              <w:pStyle w:val="ITable"/>
            </w:pPr>
            <w:r/>
            <w:r>
              <w:t>0.784</w:t>
            </w:r>
          </w:p>
        </w:tc>
        <w:tc>
          <w:tcPr>
            <w:tcW w:type="dxa" w:w="1361"/>
          </w:tcPr>
          <w:p>
            <w:pPr>
              <w:pStyle w:val="ITable"/>
            </w:pPr>
            <w:r/>
            <w:r>
              <w:t>0.701</w:t>
            </w:r>
          </w:p>
        </w:tc>
      </w:tr>
      <w:tr>
        <w:tc>
          <w:tcPr>
            <w:tcW w:type="dxa" w:w="1361"/>
          </w:tcPr>
          <w:p>
            <w:pPr>
              <w:pStyle w:val="ITable"/>
            </w:pPr>
            <w:r/>
            <w:r>
              <w:t>laptop</w:t>
            </w:r>
          </w:p>
        </w:tc>
        <w:tc>
          <w:tcPr>
            <w:tcW w:type="dxa" w:w="1361"/>
          </w:tcPr>
          <w:p>
            <w:pPr>
              <w:pStyle w:val="ITable"/>
            </w:pPr>
            <w:r/>
            <w:r>
              <w:t>91</w:t>
            </w:r>
          </w:p>
        </w:tc>
        <w:tc>
          <w:tcPr>
            <w:tcW w:type="dxa" w:w="1361"/>
          </w:tcPr>
          <w:p>
            <w:pPr>
              <w:pStyle w:val="ITable"/>
            </w:pPr>
            <w:r/>
            <w:r>
              <w:t>92</w:t>
            </w:r>
          </w:p>
        </w:tc>
        <w:tc>
          <w:tcPr>
            <w:tcW w:type="dxa" w:w="1361"/>
          </w:tcPr>
          <w:p>
            <w:pPr>
              <w:pStyle w:val="ITable"/>
            </w:pPr>
            <w:r/>
            <w:r>
              <w:t>0.772</w:t>
            </w:r>
          </w:p>
        </w:tc>
        <w:tc>
          <w:tcPr>
            <w:tcW w:type="dxa" w:w="1361"/>
          </w:tcPr>
          <w:p>
            <w:pPr>
              <w:pStyle w:val="ITable"/>
            </w:pPr>
            <w:r/>
            <w:r>
              <w:t>0.780</w:t>
            </w:r>
          </w:p>
        </w:tc>
        <w:tc>
          <w:tcPr>
            <w:tcW w:type="dxa" w:w="1361"/>
          </w:tcPr>
          <w:p>
            <w:pPr>
              <w:pStyle w:val="ITable"/>
            </w:pPr>
            <w:r/>
            <w:r>
              <w:t>0.776</w:t>
            </w:r>
          </w:p>
        </w:tc>
        <w:tc>
          <w:tcPr>
            <w:tcW w:type="dxa" w:w="1361"/>
          </w:tcPr>
          <w:p>
            <w:pPr>
              <w:pStyle w:val="ITable"/>
            </w:pPr>
            <w:r/>
            <w:r>
              <w:t>0.759</w:t>
            </w:r>
          </w:p>
        </w:tc>
      </w:tr>
      <w:tr>
        <w:tc>
          <w:tcPr>
            <w:tcW w:type="dxa" w:w="1361"/>
          </w:tcPr>
          <w:p>
            <w:pPr>
              <w:pStyle w:val="ITable"/>
            </w:pPr>
            <w:r/>
            <w:r>
              <w:t>mouse</w:t>
            </w:r>
          </w:p>
        </w:tc>
        <w:tc>
          <w:tcPr>
            <w:tcW w:type="dxa" w:w="1361"/>
          </w:tcPr>
          <w:p>
            <w:pPr>
              <w:pStyle w:val="ITable"/>
            </w:pPr>
            <w:r/>
            <w:r>
              <w:t>62</w:t>
            </w:r>
          </w:p>
        </w:tc>
        <w:tc>
          <w:tcPr>
            <w:tcW w:type="dxa" w:w="1361"/>
          </w:tcPr>
          <w:p>
            <w:pPr>
              <w:pStyle w:val="ITable"/>
            </w:pPr>
            <w:r/>
            <w:r>
              <w:t>43</w:t>
            </w:r>
          </w:p>
        </w:tc>
        <w:tc>
          <w:tcPr>
            <w:tcW w:type="dxa" w:w="1361"/>
          </w:tcPr>
          <w:p>
            <w:pPr>
              <w:pStyle w:val="ITable"/>
            </w:pPr>
            <w:r/>
            <w:r>
              <w:t>0.884</w:t>
            </w:r>
          </w:p>
        </w:tc>
        <w:tc>
          <w:tcPr>
            <w:tcW w:type="dxa" w:w="1361"/>
          </w:tcPr>
          <w:p>
            <w:pPr>
              <w:pStyle w:val="ITable"/>
            </w:pPr>
            <w:r/>
            <w:r>
              <w:t>0.613</w:t>
            </w:r>
          </w:p>
        </w:tc>
        <w:tc>
          <w:tcPr>
            <w:tcW w:type="dxa" w:w="1361"/>
          </w:tcPr>
          <w:p>
            <w:pPr>
              <w:pStyle w:val="ITable"/>
            </w:pPr>
            <w:r/>
            <w:r>
              <w:t>0.724</w:t>
            </w:r>
          </w:p>
        </w:tc>
        <w:tc>
          <w:tcPr>
            <w:tcW w:type="dxa" w:w="1361"/>
          </w:tcPr>
          <w:p>
            <w:pPr>
              <w:pStyle w:val="ITable"/>
            </w:pPr>
            <w:r/>
            <w:r>
              <w:t>0.611</w:t>
            </w:r>
          </w:p>
        </w:tc>
      </w:tr>
      <w:tr>
        <w:tc>
          <w:tcPr>
            <w:tcW w:type="dxa" w:w="1361"/>
          </w:tcPr>
          <w:p>
            <w:pPr>
              <w:pStyle w:val="ITable"/>
            </w:pPr>
            <w:r/>
            <w:r>
              <w:t>keyboard</w:t>
            </w:r>
          </w:p>
        </w:tc>
        <w:tc>
          <w:tcPr>
            <w:tcW w:type="dxa" w:w="1361"/>
          </w:tcPr>
          <w:p>
            <w:pPr>
              <w:pStyle w:val="ITable"/>
            </w:pPr>
            <w:r/>
            <w:r>
              <w:t>95</w:t>
            </w:r>
          </w:p>
        </w:tc>
        <w:tc>
          <w:tcPr>
            <w:tcW w:type="dxa" w:w="1361"/>
          </w:tcPr>
          <w:p>
            <w:pPr>
              <w:pStyle w:val="ITable"/>
            </w:pPr>
            <w:r/>
            <w:r>
              <w:t>77</w:t>
            </w:r>
          </w:p>
        </w:tc>
        <w:tc>
          <w:tcPr>
            <w:tcW w:type="dxa" w:w="1361"/>
          </w:tcPr>
          <w:p>
            <w:pPr>
              <w:pStyle w:val="ITable"/>
            </w:pPr>
            <w:r/>
            <w:r>
              <w:t>0.753</w:t>
            </w:r>
          </w:p>
        </w:tc>
        <w:tc>
          <w:tcPr>
            <w:tcW w:type="dxa" w:w="1361"/>
          </w:tcPr>
          <w:p>
            <w:pPr>
              <w:pStyle w:val="ITable"/>
            </w:pPr>
            <w:r/>
            <w:r>
              <w:t>0.611</w:t>
            </w:r>
          </w:p>
        </w:tc>
        <w:tc>
          <w:tcPr>
            <w:tcW w:type="dxa" w:w="1361"/>
          </w:tcPr>
          <w:p>
            <w:pPr>
              <w:pStyle w:val="ITable"/>
            </w:pPr>
            <w:r/>
            <w:r>
              <w:t>0.674</w:t>
            </w:r>
          </w:p>
        </w:tc>
        <w:tc>
          <w:tcPr>
            <w:tcW w:type="dxa" w:w="1361"/>
          </w:tcPr>
          <w:p>
            <w:pPr>
              <w:pStyle w:val="ITable"/>
            </w:pPr>
            <w:r/>
            <w:r>
              <w:t>0.581</w:t>
            </w:r>
          </w:p>
        </w:tc>
      </w:tr>
      <w:tr>
        <w:tc>
          <w:tcPr>
            <w:tcW w:type="dxa" w:w="1361"/>
          </w:tcPr>
          <w:p>
            <w:pPr>
              <w:pStyle w:val="ITable"/>
            </w:pPr>
            <w:r/>
            <w:r>
              <w:t>cell phone</w:t>
            </w:r>
          </w:p>
        </w:tc>
        <w:tc>
          <w:tcPr>
            <w:tcW w:type="dxa" w:w="1361"/>
          </w:tcPr>
          <w:p>
            <w:pPr>
              <w:pStyle w:val="ITable"/>
            </w:pPr>
            <w:r/>
            <w:r>
              <w:t>74</w:t>
            </w:r>
          </w:p>
        </w:tc>
        <w:tc>
          <w:tcPr>
            <w:tcW w:type="dxa" w:w="1361"/>
          </w:tcPr>
          <w:p>
            <w:pPr>
              <w:pStyle w:val="ITable"/>
            </w:pPr>
            <w:r/>
            <w:r>
              <w:t>40</w:t>
            </w:r>
          </w:p>
        </w:tc>
        <w:tc>
          <w:tcPr>
            <w:tcW w:type="dxa" w:w="1361"/>
          </w:tcPr>
          <w:p>
            <w:pPr>
              <w:pStyle w:val="ITable"/>
            </w:pPr>
            <w:r/>
            <w:r>
              <w:t>0.600</w:t>
            </w:r>
          </w:p>
        </w:tc>
        <w:tc>
          <w:tcPr>
            <w:tcW w:type="dxa" w:w="1361"/>
          </w:tcPr>
          <w:p>
            <w:pPr>
              <w:pStyle w:val="ITable"/>
            </w:pPr>
            <w:r/>
            <w:r>
              <w:t>0.324</w:t>
            </w:r>
          </w:p>
        </w:tc>
        <w:tc>
          <w:tcPr>
            <w:tcW w:type="dxa" w:w="1361"/>
          </w:tcPr>
          <w:p>
            <w:pPr>
              <w:pStyle w:val="ITable"/>
            </w:pPr>
            <w:r/>
            <w:r>
              <w:t>0.421</w:t>
            </w:r>
          </w:p>
        </w:tc>
        <w:tc>
          <w:tcPr>
            <w:tcW w:type="dxa" w:w="1361"/>
          </w:tcPr>
          <w:p>
            <w:pPr>
              <w:pStyle w:val="ITable"/>
            </w:pPr>
            <w:r/>
            <w:r>
              <w:t>0.300</w:t>
            </w:r>
          </w:p>
        </w:tc>
      </w:tr>
      <w:tr>
        <w:tc>
          <w:tcPr>
            <w:tcW w:type="dxa" w:w="1361"/>
          </w:tcPr>
          <w:p>
            <w:pPr>
              <w:pStyle w:val="ITable"/>
            </w:pPr>
            <w:r/>
            <w:r>
              <w:t>book</w:t>
            </w:r>
          </w:p>
        </w:tc>
        <w:tc>
          <w:tcPr>
            <w:tcW w:type="dxa" w:w="1361"/>
          </w:tcPr>
          <w:p>
            <w:pPr>
              <w:pStyle w:val="ITable"/>
            </w:pPr>
            <w:r/>
            <w:r>
              <w:t>265</w:t>
            </w:r>
          </w:p>
        </w:tc>
        <w:tc>
          <w:tcPr>
            <w:tcW w:type="dxa" w:w="1361"/>
          </w:tcPr>
          <w:p>
            <w:pPr>
              <w:pStyle w:val="ITable"/>
            </w:pPr>
            <w:r/>
            <w:r>
              <w:t>34</w:t>
            </w:r>
          </w:p>
        </w:tc>
        <w:tc>
          <w:tcPr>
            <w:tcW w:type="dxa" w:w="1361"/>
          </w:tcPr>
          <w:p>
            <w:pPr>
              <w:pStyle w:val="ITable"/>
            </w:pPr>
            <w:r/>
            <w:r>
              <w:t>0.529</w:t>
            </w:r>
          </w:p>
        </w:tc>
        <w:tc>
          <w:tcPr>
            <w:tcW w:type="dxa" w:w="1361"/>
          </w:tcPr>
          <w:p>
            <w:pPr>
              <w:pStyle w:val="ITable"/>
            </w:pPr>
            <w:r/>
            <w:r>
              <w:t>0.068</w:t>
            </w:r>
          </w:p>
        </w:tc>
        <w:tc>
          <w:tcPr>
            <w:tcW w:type="dxa" w:w="1361"/>
          </w:tcPr>
          <w:p>
            <w:pPr>
              <w:pStyle w:val="ITable"/>
            </w:pPr>
            <w:r/>
            <w:r>
              <w:t>0.120</w:t>
            </w:r>
          </w:p>
        </w:tc>
        <w:tc>
          <w:tcPr>
            <w:tcW w:type="dxa" w:w="1361"/>
          </w:tcPr>
          <w:p>
            <w:pPr>
              <w:pStyle w:val="ITable"/>
            </w:pPr>
            <w:r/>
            <w:r>
              <w:t>0.056</w:t>
            </w:r>
          </w:p>
        </w:tc>
      </w:tr>
      <w:tr>
        <w:tc>
          <w:tcPr>
            <w:tcW w:type="dxa" w:w="1361"/>
          </w:tcPr>
          <w:p>
            <w:pPr>
              <w:pStyle w:val="ITable"/>
            </w:pPr>
            <w:r/>
            <w:r>
              <w:rPr>
                <w:b/>
              </w:rPr>
              <w:t>Macro</w:t>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p>
        </w:tc>
        <w:tc>
          <w:tcPr>
            <w:tcW w:type="dxa" w:w="1361"/>
          </w:tcPr>
          <w:p>
            <w:pPr>
              <w:pStyle w:val="ITable"/>
            </w:pPr>
            <w:r/>
            <w:r>
              <w:rPr>
                <w:b/>
              </w:rPr>
              <w:t>0.606</w:t>
            </w:r>
          </w:p>
        </w:tc>
        <w:tc>
          <w:tcPr>
            <w:tcW w:type="dxa" w:w="1361"/>
          </w:tcPr>
          <w:p>
            <w:pPr>
              <w:pStyle w:val="ITable"/>
            </w:pPr>
            <w:r/>
            <w:r>
              <w:rPr>
                <w:b/>
              </w:rPr>
              <w:t>0.519</w:t>
            </w:r>
          </w:p>
        </w:tc>
      </w:tr>
    </w:tbl>
    <w:p>
      <w:pPr>
        <w:sectPr>
          <w:type w:val="continuous"/>
          <w:pgSz w:w="11906" w:h="16838"/>
          <w:pgMar w:top="1644" w:right="1077" w:bottom="1134" w:left="1304" w:header="936" w:footer="720"/>
          <w:cols w:num="1" w:space="284"/>
        </w:sectPr>
      </w:pPr>
    </w:p>
    <w:p>
      <w:pPr>
        <w:pStyle w:val="IText"/>
      </w:pPr>
      <w:r>
        <w:t>Per-frame YOLOv8-s inference latency is characterised separately in Section 6.5 (Table 7); on the deployed MPS configuration the median is 34.4 ms per frame.</w:t>
      </w:r>
    </w:p>
    <w:p>
      <w:pPr>
        <w:pStyle w:val="IText"/>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IFigure"/>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5"/>
                    <a:stretch>
                      <a:fillRect/>
                    </a:stretch>
                  </pic:blipFill>
                  <pic:spPr>
                    <a:xfrm>
                      <a:off x="0" y="0"/>
                      <a:ext cx="2880360" cy="2057400"/>
                    </a:xfrm>
                    <a:prstGeom prst="rect"/>
                  </pic:spPr>
                </pic:pic>
              </a:graphicData>
            </a:graphic>
          </wp:inline>
        </w:drawing>
      </w:r>
    </w:p>
    <w:p>
      <w:pPr>
        <w:pStyle w:val="IFigureCaption"/>
      </w:pPr>
      <w:r>
        <w:rPr>
          <w:b/>
        </w:rPr>
        <w:t xml:space="preserve">Figure 3: </w:t>
      </w:r>
      <w:r>
        <w:t>Precision-recall curves of YOLOv8-s on the COCO val2017 proctoring subset (217 images, 1,164 annotations).</w:t>
      </w:r>
    </w:p>
    <w:p>
      <w:pPr>
        <w:pStyle w:val="IFigure"/>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16"/>
                    <a:stretch>
                      <a:fillRect/>
                    </a:stretch>
                  </pic:blipFill>
                  <pic:spPr>
                    <a:xfrm>
                      <a:off x="0" y="0"/>
                      <a:ext cx="2880360" cy="1512189"/>
                    </a:xfrm>
                    <a:prstGeom prst="rect"/>
                  </pic:spPr>
                </pic:pic>
              </a:graphicData>
            </a:graphic>
          </wp:inline>
        </w:drawing>
      </w:r>
    </w:p>
    <w:p>
      <w:pPr>
        <w:pStyle w:val="IFigureCaption"/>
      </w:pPr>
      <w:r>
        <w:rPr>
          <w:b/>
        </w:rPr>
        <w:t xml:space="preserve">Figure 4: </w:t>
      </w:r>
      <w:r>
        <w:t>Per-class true-positive, false-positive and false-negative counts after greedy IoU 0.5 matching.</w:t>
      </w:r>
    </w:p>
    <w:p>
      <w:pPr>
        <w:pStyle w:val="ISubSectionTitle"/>
      </w:pPr>
      <w:r>
        <w:rPr>
          <w:b/>
        </w:rPr>
        <w:t>Acoustic Subsystem (D2)</w:t>
      </w:r>
    </w:p>
    <w:p>
      <w:pPr>
        <w:pStyle w:val="ITex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ITableCaption"/>
      </w:pPr>
      <w:r>
        <w:rPr>
          <w:b/>
        </w:rPr>
        <w:t xml:space="preserve">Table 3: </w:t>
      </w:r>
      <w:r>
        <w:t>Whisper-Base in content-free mode on the LibriSpeech-derived acoustic benchmark (400 clips, real read speech).</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Signal</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Secondary-speaker probability</w:t>
            </w:r>
          </w:p>
        </w:tc>
        <w:tc>
          <w:tcPr>
            <w:tcW w:type="dxa" w:w="1905"/>
          </w:tcPr>
          <w:p>
            <w:pPr>
              <w:pStyle w:val="ITable"/>
            </w:pPr>
            <w:r/>
            <w:r>
              <w:t>0.774</w:t>
            </w:r>
          </w:p>
        </w:tc>
        <w:tc>
          <w:tcPr>
            <w:tcW w:type="dxa" w:w="1905"/>
          </w:tcPr>
          <w:p>
            <w:pPr>
              <w:pStyle w:val="ITable"/>
            </w:pPr>
            <w:r/>
            <w:r>
              <w:t>0.600</w:t>
            </w:r>
          </w:p>
        </w:tc>
        <w:tc>
          <w:tcPr>
            <w:tcW w:type="dxa" w:w="1905"/>
          </w:tcPr>
          <w:p>
            <w:pPr>
              <w:pStyle w:val="ITable"/>
            </w:pPr>
            <w:r/>
            <w:r>
              <w:t>0.779</w:t>
            </w:r>
          </w:p>
        </w:tc>
        <w:tc>
          <w:tcPr>
            <w:tcW w:type="dxa" w:w="1905"/>
          </w:tcPr>
          <w:p>
            <w:pPr>
              <w:pStyle w:val="ITable"/>
            </w:pPr>
            <w:r/>
            <w:r>
              <w:t>0.017</w:t>
            </w:r>
          </w:p>
        </w:tc>
      </w:tr>
      <w:tr>
        <w:tc>
          <w:tcPr>
            <w:tcW w:type="dxa" w:w="1905"/>
          </w:tcPr>
          <w:p>
            <w:pPr>
              <w:pStyle w:val="ITable"/>
            </w:pPr>
            <w:r/>
            <w:r>
              <w:t>Overlap probability</w:t>
            </w:r>
          </w:p>
        </w:tc>
        <w:tc>
          <w:tcPr>
            <w:tcW w:type="dxa" w:w="1905"/>
          </w:tcPr>
          <w:p>
            <w:pPr>
              <w:pStyle w:val="ITable"/>
            </w:pPr>
            <w:r/>
            <w:r>
              <w:t>0.771</w:t>
            </w:r>
          </w:p>
        </w:tc>
        <w:tc>
          <w:tcPr>
            <w:tcW w:type="dxa" w:w="1905"/>
          </w:tcPr>
          <w:p>
            <w:pPr>
              <w:pStyle w:val="ITable"/>
            </w:pPr>
            <w:r/>
            <w:r>
              <w:t>0.601</w:t>
            </w:r>
          </w:p>
        </w:tc>
        <w:tc>
          <w:tcPr>
            <w:tcW w:type="dxa" w:w="1905"/>
          </w:tcPr>
          <w:p>
            <w:pPr>
              <w:pStyle w:val="ITable"/>
            </w:pPr>
            <w:r/>
            <w:r>
              <w:t>0.770</w:t>
            </w:r>
          </w:p>
        </w:tc>
        <w:tc>
          <w:tcPr>
            <w:tcW w:type="dxa" w:w="1905"/>
          </w:tcPr>
          <w:p>
            <w:pPr>
              <w:pStyle w:val="ITable"/>
            </w:pPr>
            <w:r/>
            <w:r>
              <w:t>0.004</w:t>
            </w:r>
          </w:p>
        </w:tc>
      </w:tr>
      <w:tr>
        <w:tc>
          <w:tcPr>
            <w:tcW w:type="dxa" w:w="1905"/>
          </w:tcPr>
          <w:p>
            <w:pPr>
              <w:pStyle w:val="ITable"/>
            </w:pPr>
            <w:r/>
            <w:r>
              <w:t>Whisper probability</w:t>
            </w:r>
          </w:p>
        </w:tc>
        <w:tc>
          <w:tcPr>
            <w:tcW w:type="dxa" w:w="1905"/>
          </w:tcPr>
          <w:p>
            <w:pPr>
              <w:pStyle w:val="ITable"/>
            </w:pPr>
            <w:r/>
            <w:r>
              <w:t>0.935</w:t>
            </w:r>
          </w:p>
        </w:tc>
        <w:tc>
          <w:tcPr>
            <w:tcW w:type="dxa" w:w="1905"/>
          </w:tcPr>
          <w:p>
            <w:pPr>
              <w:pStyle w:val="ITable"/>
            </w:pPr>
            <w:r/>
            <w:r>
              <w:t>0.910</w:t>
            </w:r>
          </w:p>
        </w:tc>
        <w:tc>
          <w:tcPr>
            <w:tcW w:type="dxa" w:w="1905"/>
          </w:tcPr>
          <w:p>
            <w:pPr>
              <w:pStyle w:val="ITable"/>
            </w:pPr>
            <w:r/>
            <w:r>
              <w:t>0.832</w:t>
            </w:r>
          </w:p>
        </w:tc>
        <w:tc>
          <w:tcPr>
            <w:tcW w:type="dxa" w:w="1905"/>
          </w:tcPr>
          <w:p>
            <w:pPr>
              <w:pStyle w:val="ITable"/>
            </w:pPr>
            <w:r/>
            <w:r>
              <w:t>0.010</w:t>
            </w:r>
          </w:p>
        </w:tc>
      </w:tr>
    </w:tbl>
    <w:p>
      <w:pPr>
        <w:sectPr>
          <w:type w:val="continuous"/>
          <w:pgSz w:w="11906" w:h="16838"/>
          <w:pgMar w:top="1644" w:right="1077" w:bottom="1134" w:left="1304" w:header="936" w:footer="720"/>
          <w:cols w:num="1" w:space="284"/>
        </w:sectPr>
      </w:pPr>
    </w:p>
    <w:p>
      <w:pPr>
        <w:pStyle w:val="IText"/>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17"/>
                    <a:stretch>
                      <a:fillRect/>
                    </a:stretch>
                  </pic:blipFill>
                  <pic:spPr>
                    <a:xfrm>
                      <a:off x="0" y="0"/>
                      <a:ext cx="5852160" cy="2394065"/>
                    </a:xfrm>
                    <a:prstGeom prst="rect"/>
                  </pic:spPr>
                </pic:pic>
              </a:graphicData>
            </a:graphic>
          </wp:inline>
        </w:drawing>
      </w:r>
    </w:p>
    <w:p>
      <w:pPr>
        <w:pStyle w:val="IFigureCaption"/>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18"/>
                    <a:stretch>
                      <a:fillRect/>
                    </a:stretch>
                  </pic:blipFill>
                  <pic:spPr>
                    <a:xfrm>
                      <a:off x="0" y="0"/>
                      <a:ext cx="2880360" cy="1613002"/>
                    </a:xfrm>
                    <a:prstGeom prst="rect"/>
                  </pic:spPr>
                </pic:pic>
              </a:graphicData>
            </a:graphic>
          </wp:inline>
        </w:drawing>
      </w:r>
    </w:p>
    <w:p>
      <w:pPr>
        <w:pStyle w:val="IFigureCaption"/>
      </w:pPr>
      <w:r>
        <w:rPr>
          <w:b/>
        </w:rPr>
        <w:t xml:space="preserve">Figure 6: </w:t>
      </w:r>
      <w:r>
        <w:t>Per-class distribution of the secondary-speaker probability on the 400-clip LibriSpeech benchmark.</w:t>
      </w:r>
    </w:p>
    <w:p>
      <w:pPr>
        <w:pStyle w:val="ISubSectionTitle"/>
      </w:pPr>
      <w:r>
        <w:rPr>
          <w:b/>
        </w:rPr>
        <w:t>Behavioural Cues (D3)</w:t>
      </w:r>
    </w:p>
    <w:p>
      <w:pPr>
        <w:pStyle w:val="ITex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ITableCaption"/>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05"/>
        <w:gridCol w:w="1905"/>
        <w:gridCol w:w="1905"/>
        <w:gridCol w:w="1905"/>
        <w:gridCol w:w="1905"/>
      </w:tblGrid>
      <w:tr>
        <w:tc>
          <w:tcPr>
            <w:tcW w:type="dxa" w:w="1905"/>
          </w:tcPr>
          <w:p>
            <w:pPr>
              <w:pStyle w:val="ITable"/>
            </w:pPr>
            <w:r/>
            <w:r>
              <w:rPr>
                <w:b/>
              </w:rPr>
              <w:t>Task</w:t>
            </w:r>
          </w:p>
        </w:tc>
        <w:tc>
          <w:tcPr>
            <w:tcW w:type="dxa" w:w="1905"/>
          </w:tcPr>
          <w:p>
            <w:pPr>
              <w:pStyle w:val="ITable"/>
            </w:pPr>
            <w:r/>
            <w:r>
              <w:rPr>
                <w:b/>
              </w:rPr>
              <w:t>ROC AUC</w:t>
            </w:r>
          </w:p>
        </w:tc>
        <w:tc>
          <w:tcPr>
            <w:tcW w:type="dxa" w:w="1905"/>
          </w:tcPr>
          <w:p>
            <w:pPr>
              <w:pStyle w:val="ITable"/>
            </w:pPr>
            <w:r/>
            <w:r>
              <w:rPr>
                <w:b/>
              </w:rPr>
              <w:t>PR AUC</w:t>
            </w:r>
          </w:p>
        </w:tc>
        <w:tc>
          <w:tcPr>
            <w:tcW w:type="dxa" w:w="1905"/>
          </w:tcPr>
          <w:p>
            <w:pPr>
              <w:pStyle w:val="ITable"/>
            </w:pPr>
            <w:r/>
            <w:r>
              <w:rPr>
                <w:b/>
              </w:rPr>
              <w:t>F1 @ best threshold</w:t>
            </w:r>
          </w:p>
        </w:tc>
        <w:tc>
          <w:tcPr>
            <w:tcW w:type="dxa" w:w="1905"/>
          </w:tcPr>
          <w:p>
            <w:pPr>
              <w:pStyle w:val="ITable"/>
            </w:pPr>
            <w:r/>
            <w:r>
              <w:rPr>
                <w:b/>
              </w:rPr>
              <w:t>Best threshold</w:t>
            </w:r>
          </w:p>
        </w:tc>
      </w:tr>
      <w:tr>
        <w:tc>
          <w:tcPr>
            <w:tcW w:type="dxa" w:w="1905"/>
          </w:tcPr>
          <w:p>
            <w:pPr>
              <w:pStyle w:val="ITable"/>
            </w:pPr>
            <w:r/>
            <w:r>
              <w:t>Sustained off-screen gaze</w:t>
            </w:r>
          </w:p>
        </w:tc>
        <w:tc>
          <w:tcPr>
            <w:tcW w:type="dxa" w:w="1905"/>
          </w:tcPr>
          <w:p>
            <w:pPr>
              <w:pStyle w:val="ITable"/>
            </w:pPr>
            <w:r/>
            <w:r>
              <w:t>0.938</w:t>
            </w:r>
          </w:p>
        </w:tc>
        <w:tc>
          <w:tcPr>
            <w:tcW w:type="dxa" w:w="1905"/>
          </w:tcPr>
          <w:p>
            <w:pPr>
              <w:pStyle w:val="ITable"/>
            </w:pPr>
            <w:r/>
            <w:r>
              <w:t>0.886</w:t>
            </w:r>
          </w:p>
        </w:tc>
        <w:tc>
          <w:tcPr>
            <w:tcW w:type="dxa" w:w="1905"/>
          </w:tcPr>
          <w:p>
            <w:pPr>
              <w:pStyle w:val="ITable"/>
            </w:pPr>
            <w:r/>
            <w:r>
              <w:t>0.873</w:t>
            </w:r>
          </w:p>
        </w:tc>
        <w:tc>
          <w:tcPr>
            <w:tcW w:type="dxa" w:w="1905"/>
          </w:tcPr>
          <w:p>
            <w:pPr>
              <w:pStyle w:val="ITable"/>
            </w:pPr>
            <w:r/>
            <w:r>
              <w:t>32.2° (combined)</w:t>
            </w:r>
          </w:p>
        </w:tc>
      </w:tr>
      <w:tr>
        <w:tc>
          <w:tcPr>
            <w:tcW w:type="dxa" w:w="1905"/>
          </w:tcPr>
          <w:p>
            <w:pPr>
              <w:pStyle w:val="ITable"/>
            </w:pPr>
            <w:r/>
            <w:r>
              <w:t>Lip movement without keyboard</w:t>
            </w:r>
          </w:p>
        </w:tc>
        <w:tc>
          <w:tcPr>
            <w:tcW w:type="dxa" w:w="1905"/>
          </w:tcPr>
          <w:p>
            <w:pPr>
              <w:pStyle w:val="ITable"/>
            </w:pPr>
            <w:r/>
            <w:r>
              <w:t>0.663</w:t>
            </w:r>
          </w:p>
        </w:tc>
        <w:tc>
          <w:tcPr>
            <w:tcW w:type="dxa" w:w="1905"/>
          </w:tcPr>
          <w:p>
            <w:pPr>
              <w:pStyle w:val="ITable"/>
            </w:pPr>
            <w:r/>
            <w:r>
              <w:t>0.314</w:t>
            </w:r>
          </w:p>
        </w:tc>
        <w:tc>
          <w:tcPr>
            <w:tcW w:type="dxa" w:w="1905"/>
          </w:tcPr>
          <w:p>
            <w:pPr>
              <w:pStyle w:val="ITable"/>
            </w:pPr>
            <w:r/>
            <w:r>
              <w:t>0.393</w:t>
            </w:r>
          </w:p>
        </w:tc>
        <w:tc>
          <w:tcPr>
            <w:tcW w:type="dxa" w:w="1905"/>
          </w:tcPr>
          <w:p>
            <w:pPr>
              <w:pStyle w:val="ITable"/>
            </w:pPr>
            <w:r/>
            <w:r>
              <w:t>10.1 (variance scale)</w:t>
            </w:r>
          </w:p>
        </w:tc>
      </w:tr>
    </w:tbl>
    <w:p>
      <w:pPr>
        <w:sectPr>
          <w:type w:val="continuous"/>
          <w:pgSz w:w="11906" w:h="16838"/>
          <w:pgMar w:top="1644" w:right="1077" w:bottom="1134" w:left="1304" w:header="936" w:footer="720"/>
          <w:cols w:num="1" w:space="284"/>
        </w:sectPr>
      </w:pPr>
    </w:p>
    <w:p>
      <w:pPr>
        <w:pStyle w:val="IText"/>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IFigure"/>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19"/>
                    <a:stretch>
                      <a:fillRect/>
                    </a:stretch>
                  </pic:blipFill>
                  <pic:spPr>
                    <a:xfrm>
                      <a:off x="0" y="0"/>
                      <a:ext cx="2880360" cy="1178329"/>
                    </a:xfrm>
                    <a:prstGeom prst="rect"/>
                  </pic:spPr>
                </pic:pic>
              </a:graphicData>
            </a:graphic>
          </wp:inline>
        </w:drawing>
      </w:r>
    </w:p>
    <w:p>
      <w:pPr>
        <w:pStyle w:val="IFigureCaption"/>
      </w:pPr>
      <w:r>
        <w:rPr>
          <w:b/>
        </w:rPr>
        <w:t xml:space="preserve">Figure 7: </w:t>
      </w:r>
      <w:r>
        <w:t>Per-scenario distribution of the geometric descriptors (yaw amplitude and lip variance) computed from MediaPipe FaceMesh landmarks of real Pexels face anchors.</w:t>
      </w:r>
    </w:p>
    <w:p>
      <w:pPr>
        <w:pStyle w:val="ISubSectionTitle"/>
      </w:pPr>
      <w:r>
        <w:rPr>
          <w:b/>
        </w:rPr>
        <w:t>Fusion Model Comparison and Ablation (D4)</w:t>
      </w:r>
    </w:p>
    <w:p>
      <w:pPr>
        <w:pStyle w:val="ITex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ITableCaption"/>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Model</w:t>
            </w:r>
          </w:p>
        </w:tc>
        <w:tc>
          <w:tcPr>
            <w:tcW w:type="dxa" w:w="1361"/>
          </w:tcPr>
          <w:p>
            <w:pPr>
              <w:pStyle w:val="ITable"/>
            </w:pPr>
            <w:r/>
            <w:r>
              <w:rPr>
                <w:b/>
              </w:rPr>
              <w:t>F1</w:t>
            </w:r>
          </w:p>
        </w:tc>
        <w:tc>
          <w:tcPr>
            <w:tcW w:type="dxa" w:w="1361"/>
          </w:tcPr>
          <w:p>
            <w:pPr>
              <w:pStyle w:val="ITable"/>
            </w:pPr>
            <w:r/>
            <w:r>
              <w:rPr>
                <w:b/>
              </w:rPr>
              <w:t>Precision</w:t>
            </w:r>
          </w:p>
        </w:tc>
        <w:tc>
          <w:tcPr>
            <w:tcW w:type="dxa" w:w="1361"/>
          </w:tcPr>
          <w:p>
            <w:pPr>
              <w:pStyle w:val="ITable"/>
            </w:pPr>
            <w:r/>
            <w:r>
              <w:rPr>
                <w:b/>
              </w:rPr>
              <w:t>Recall</w:t>
            </w:r>
          </w:p>
        </w:tc>
        <w:tc>
          <w:tcPr>
            <w:tcW w:type="dxa" w:w="1361"/>
          </w:tcPr>
          <w:p>
            <w:pPr>
              <w:pStyle w:val="ITable"/>
            </w:pPr>
            <w:r/>
            <w:r>
              <w:rPr>
                <w:b/>
              </w:rPr>
              <w:t>ROC AUC</w:t>
            </w:r>
          </w:p>
        </w:tc>
        <w:tc>
          <w:tcPr>
            <w:tcW w:type="dxa" w:w="1361"/>
          </w:tcPr>
          <w:p>
            <w:pPr>
              <w:pStyle w:val="ITable"/>
            </w:pPr>
            <w:r/>
            <w:r>
              <w:rPr>
                <w:b/>
              </w:rPr>
              <w:t>PR AUC</w:t>
            </w:r>
          </w:p>
        </w:tc>
        <w:tc>
          <w:tcPr>
            <w:tcW w:type="dxa" w:w="1361"/>
          </w:tcPr>
          <w:p>
            <w:pPr>
              <w:pStyle w:val="ITable"/>
            </w:pPr>
            <w:r/>
            <w:r>
              <w:rPr>
                <w:b/>
              </w:rPr>
              <w:t>95% CI on F1</w:t>
            </w:r>
          </w:p>
        </w:tc>
      </w:tr>
      <w:tr>
        <w:tc>
          <w:tcPr>
            <w:tcW w:type="dxa" w:w="1361"/>
          </w:tcPr>
          <w:p>
            <w:pPr>
              <w:pStyle w:val="ITable"/>
            </w:pPr>
            <w:r/>
            <w:r>
              <w:t>Weighted sum (paper baseline)</w:t>
            </w:r>
          </w:p>
        </w:tc>
        <w:tc>
          <w:tcPr>
            <w:tcW w:type="dxa" w:w="1361"/>
          </w:tcPr>
          <w:p>
            <w:pPr>
              <w:pStyle w:val="ITable"/>
            </w:pPr>
            <w:r/>
            <w:r>
              <w:t>0.899 ± 0.011</w:t>
            </w:r>
          </w:p>
        </w:tc>
        <w:tc>
          <w:tcPr>
            <w:tcW w:type="dxa" w:w="1361"/>
          </w:tcPr>
          <w:p>
            <w:pPr>
              <w:pStyle w:val="ITable"/>
            </w:pPr>
            <w:r/>
            <w:r>
              <w:t>0.831</w:t>
            </w:r>
          </w:p>
        </w:tc>
        <w:tc>
          <w:tcPr>
            <w:tcW w:type="dxa" w:w="1361"/>
          </w:tcPr>
          <w:p>
            <w:pPr>
              <w:pStyle w:val="ITable"/>
            </w:pPr>
            <w:r/>
            <w:r>
              <w:t>0.979</w:t>
            </w:r>
          </w:p>
        </w:tc>
        <w:tc>
          <w:tcPr>
            <w:tcW w:type="dxa" w:w="1361"/>
          </w:tcPr>
          <w:p>
            <w:pPr>
              <w:pStyle w:val="ITable"/>
            </w:pPr>
            <w:r/>
            <w:r>
              <w:t>0.729</w:t>
            </w:r>
          </w:p>
        </w:tc>
        <w:tc>
          <w:tcPr>
            <w:tcW w:type="dxa" w:w="1361"/>
          </w:tcPr>
          <w:p>
            <w:pPr>
              <w:pStyle w:val="ITable"/>
            </w:pPr>
            <w:r/>
            <w:r>
              <w:t>0.905</w:t>
            </w:r>
          </w:p>
        </w:tc>
        <w:tc>
          <w:tcPr>
            <w:tcW w:type="dxa" w:w="1361"/>
          </w:tcPr>
          <w:p>
            <w:pPr>
              <w:pStyle w:val="ITable"/>
            </w:pPr>
            <w:r/>
            <w:r>
              <w:t>[0.871, 0.924]</w:t>
            </w:r>
          </w:p>
        </w:tc>
      </w:tr>
      <w:tr>
        <w:tc>
          <w:tcPr>
            <w:tcW w:type="dxa" w:w="1361"/>
          </w:tcPr>
          <w:p>
            <w:pPr>
              <w:pStyle w:val="ITable"/>
            </w:pPr>
            <w:r/>
            <w:r>
              <w:t>Logistic regression</w:t>
            </w:r>
          </w:p>
        </w:tc>
        <w:tc>
          <w:tcPr>
            <w:tcW w:type="dxa" w:w="1361"/>
          </w:tcPr>
          <w:p>
            <w:pPr>
              <w:pStyle w:val="ITable"/>
            </w:pPr>
            <w:r/>
            <w:r>
              <w:t>0.873 ± 0.020</w:t>
            </w:r>
          </w:p>
        </w:tc>
        <w:tc>
          <w:tcPr>
            <w:tcW w:type="dxa" w:w="1361"/>
          </w:tcPr>
          <w:p>
            <w:pPr>
              <w:pStyle w:val="ITable"/>
            </w:pPr>
            <w:r/>
            <w:r>
              <w:t>0.961</w:t>
            </w:r>
          </w:p>
        </w:tc>
        <w:tc>
          <w:tcPr>
            <w:tcW w:type="dxa" w:w="1361"/>
          </w:tcPr>
          <w:p>
            <w:pPr>
              <w:pStyle w:val="ITable"/>
            </w:pPr>
            <w:r/>
            <w:r>
              <w:t>0.800</w:t>
            </w:r>
          </w:p>
        </w:tc>
        <w:tc>
          <w:tcPr>
            <w:tcW w:type="dxa" w:w="1361"/>
          </w:tcPr>
          <w:p>
            <w:pPr>
              <w:pStyle w:val="ITable"/>
            </w:pPr>
            <w:r/>
            <w:r>
              <w:t>0.912</w:t>
            </w:r>
          </w:p>
        </w:tc>
        <w:tc>
          <w:tcPr>
            <w:tcW w:type="dxa" w:w="1361"/>
          </w:tcPr>
          <w:p>
            <w:pPr>
              <w:pStyle w:val="ITable"/>
            </w:pPr>
            <w:r/>
            <w:r>
              <w:t>0.976</w:t>
            </w:r>
          </w:p>
        </w:tc>
        <w:tc>
          <w:tcPr>
            <w:tcW w:type="dxa" w:w="1361"/>
          </w:tcPr>
          <w:p>
            <w:pPr>
              <w:pStyle w:val="ITable"/>
            </w:pPr>
            <w:r/>
            <w:r>
              <w:t>[0.837, 0.904]</w:t>
            </w:r>
          </w:p>
        </w:tc>
      </w:tr>
      <w:tr>
        <w:tc>
          <w:tcPr>
            <w:tcW w:type="dxa" w:w="1361"/>
          </w:tcPr>
          <w:p>
            <w:pPr>
              <w:pStyle w:val="ITable"/>
            </w:pPr>
            <w:r/>
            <w:r>
              <w:rPr>
                <w:b/>
              </w:rPr>
              <w:t>Random forest</w:t>
            </w:r>
          </w:p>
        </w:tc>
        <w:tc>
          <w:tcPr>
            <w:tcW w:type="dxa" w:w="1361"/>
          </w:tcPr>
          <w:p>
            <w:pPr>
              <w:pStyle w:val="ITable"/>
            </w:pPr>
            <w:r/>
            <w:r>
              <w:rPr>
                <w:b/>
              </w:rPr>
              <w:t>0.905 ± 0.041</w:t>
            </w:r>
          </w:p>
        </w:tc>
        <w:tc>
          <w:tcPr>
            <w:tcW w:type="dxa" w:w="1361"/>
          </w:tcPr>
          <w:p>
            <w:pPr>
              <w:pStyle w:val="ITable"/>
            </w:pPr>
            <w:r/>
            <w:r>
              <w:t>0.891</w:t>
            </w:r>
          </w:p>
        </w:tc>
        <w:tc>
          <w:tcPr>
            <w:tcW w:type="dxa" w:w="1361"/>
          </w:tcPr>
          <w:p>
            <w:pPr>
              <w:pStyle w:val="ITable"/>
            </w:pPr>
            <w:r/>
            <w:r>
              <w:t>0.921</w:t>
            </w:r>
          </w:p>
        </w:tc>
        <w:tc>
          <w:tcPr>
            <w:tcW w:type="dxa" w:w="1361"/>
          </w:tcPr>
          <w:p>
            <w:pPr>
              <w:pStyle w:val="ITable"/>
            </w:pPr>
            <w:r/>
            <w:r>
              <w:t>0.886</w:t>
            </w:r>
          </w:p>
        </w:tc>
        <w:tc>
          <w:tcPr>
            <w:tcW w:type="dxa" w:w="1361"/>
          </w:tcPr>
          <w:p>
            <w:pPr>
              <w:pStyle w:val="ITable"/>
            </w:pPr>
            <w:r/>
            <w:r>
              <w:t>0.968</w:t>
            </w:r>
          </w:p>
        </w:tc>
        <w:tc>
          <w:tcPr>
            <w:tcW w:type="dxa" w:w="1361"/>
          </w:tcPr>
          <w:p>
            <w:pPr>
              <w:pStyle w:val="ITable"/>
            </w:pPr>
            <w:r/>
            <w:r>
              <w:rPr>
                <w:b/>
              </w:rPr>
              <w:t>[0.876, 0.931]</w:t>
            </w:r>
          </w:p>
        </w:tc>
      </w:tr>
      <w:tr>
        <w:tc>
          <w:tcPr>
            <w:tcW w:type="dxa" w:w="1361"/>
          </w:tcPr>
          <w:p>
            <w:pPr>
              <w:pStyle w:val="ITable"/>
            </w:pPr>
            <w:r/>
            <w:r>
              <w:t>MLP (32, 16)</w:t>
            </w:r>
          </w:p>
        </w:tc>
        <w:tc>
          <w:tcPr>
            <w:tcW w:type="dxa" w:w="1361"/>
          </w:tcPr>
          <w:p>
            <w:pPr>
              <w:pStyle w:val="ITable"/>
            </w:pPr>
            <w:r/>
            <w:r>
              <w:t>0.861 ± 0.028</w:t>
            </w:r>
          </w:p>
        </w:tc>
        <w:tc>
          <w:tcPr>
            <w:tcW w:type="dxa" w:w="1361"/>
          </w:tcPr>
          <w:p>
            <w:pPr>
              <w:pStyle w:val="ITable"/>
            </w:pPr>
            <w:r/>
            <w:r>
              <w:t>0.826</w:t>
            </w:r>
          </w:p>
        </w:tc>
        <w:tc>
          <w:tcPr>
            <w:tcW w:type="dxa" w:w="1361"/>
          </w:tcPr>
          <w:p>
            <w:pPr>
              <w:pStyle w:val="ITable"/>
            </w:pPr>
            <w:r/>
            <w:r>
              <w:t>0.900</w:t>
            </w:r>
          </w:p>
        </w:tc>
        <w:tc>
          <w:tcPr>
            <w:tcW w:type="dxa" w:w="1361"/>
          </w:tcPr>
          <w:p>
            <w:pPr>
              <w:pStyle w:val="ITable"/>
            </w:pPr>
            <w:r/>
            <w:r>
              <w:t>0.703</w:t>
            </w:r>
          </w:p>
        </w:tc>
        <w:tc>
          <w:tcPr>
            <w:tcW w:type="dxa" w:w="1361"/>
          </w:tcPr>
          <w:p>
            <w:pPr>
              <w:pStyle w:val="ITable"/>
            </w:pPr>
            <w:r/>
            <w:r>
              <w:t>0.914</w:t>
            </w:r>
          </w:p>
        </w:tc>
        <w:tc>
          <w:tcPr>
            <w:tcW w:type="dxa" w:w="1361"/>
          </w:tcPr>
          <w:p>
            <w:pPr>
              <w:pStyle w:val="ITable"/>
            </w:pPr>
            <w:r/>
            <w:r>
              <w:t>[0.828, 0.890]</w:t>
            </w:r>
          </w:p>
        </w:tc>
      </w:tr>
      <w:tr>
        <w:tc>
          <w:tcPr>
            <w:tcW w:type="dxa" w:w="1361"/>
          </w:tcPr>
          <w:p>
            <w:pPr>
              <w:pStyle w:val="ITable"/>
            </w:pPr>
            <w:r/>
            <w:r>
              <w:t>Gaussian naive Bayes</w:t>
            </w:r>
          </w:p>
        </w:tc>
        <w:tc>
          <w:tcPr>
            <w:tcW w:type="dxa" w:w="1361"/>
          </w:tcPr>
          <w:p>
            <w:pPr>
              <w:pStyle w:val="ITable"/>
            </w:pPr>
            <w:r/>
            <w:r>
              <w:t>0.803 ± 0.044</w:t>
            </w:r>
          </w:p>
        </w:tc>
        <w:tc>
          <w:tcPr>
            <w:tcW w:type="dxa" w:w="1361"/>
          </w:tcPr>
          <w:p>
            <w:pPr>
              <w:pStyle w:val="ITable"/>
            </w:pPr>
            <w:r/>
            <w:r>
              <w:t>0.944</w:t>
            </w:r>
          </w:p>
        </w:tc>
        <w:tc>
          <w:tcPr>
            <w:tcW w:type="dxa" w:w="1361"/>
          </w:tcPr>
          <w:p>
            <w:pPr>
              <w:pStyle w:val="ITable"/>
            </w:pPr>
            <w:r/>
            <w:r>
              <w:t>0.700</w:t>
            </w:r>
          </w:p>
        </w:tc>
        <w:tc>
          <w:tcPr>
            <w:tcW w:type="dxa" w:w="1361"/>
          </w:tcPr>
          <w:p>
            <w:pPr>
              <w:pStyle w:val="ITable"/>
            </w:pPr>
            <w:r/>
            <w:r>
              <w:t>0.834</w:t>
            </w:r>
          </w:p>
        </w:tc>
        <w:tc>
          <w:tcPr>
            <w:tcW w:type="dxa" w:w="1361"/>
          </w:tcPr>
          <w:p>
            <w:pPr>
              <w:pStyle w:val="ITable"/>
            </w:pPr>
            <w:r/>
            <w:r>
              <w:t>0.952</w:t>
            </w:r>
          </w:p>
        </w:tc>
        <w:tc>
          <w:tcPr>
            <w:tcW w:type="dxa" w:w="1361"/>
          </w:tcPr>
          <w:p>
            <w:pPr>
              <w:pStyle w:val="ITable"/>
            </w:pPr>
            <w:r/>
            <w:r>
              <w:t>[0.761, 0.845]</w:t>
            </w:r>
          </w:p>
        </w:tc>
      </w:tr>
    </w:tbl>
    <w:p>
      <w:pPr>
        <w:sectPr>
          <w:type w:val="continuous"/>
          <w:pgSz w:w="11906" w:h="16838"/>
          <w:pgMar w:top="1644" w:right="1077" w:bottom="1134" w:left="1304" w:header="936" w:footer="720"/>
          <w:cols w:num="1" w:space="284"/>
        </w:sectPr>
      </w:pPr>
    </w:p>
    <w:p>
      <w:pPr>
        <w:pStyle w:val="IText"/>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its recall (0.921) is higher than the weighted sum's at a comparable precision. We note that McNemar on pooled cross-validation folds slightly understates variance (the folds are not independent); the bootstrap confidence intervals in Table 5 should be read alongside it.</w:t>
      </w:r>
    </w:p>
    <w:p>
      <w:pPr>
        <w:pStyle w:val="IText"/>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ITableCaption"/>
      </w:pPr>
      <w:r>
        <w:rPr>
          <w:b/>
        </w:rPr>
        <w:t xml:space="preserve">Table 6: </w:t>
      </w:r>
      <w:r>
        <w:t>Ablation of the random-forest fusion model on the 300 real-feature sessions. Upper block: leave-one-modality-out. Lower block: single modality only.</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81"/>
        <w:gridCol w:w="2381"/>
        <w:gridCol w:w="2381"/>
        <w:gridCol w:w="2381"/>
      </w:tblGrid>
      <w:tr>
        <w:tc>
          <w:tcPr>
            <w:tcW w:type="dxa" w:w="2381"/>
          </w:tcPr>
          <w:p>
            <w:pPr>
              <w:pStyle w:val="ITable"/>
            </w:pPr>
            <w:r/>
            <w:r>
              <w:rPr>
                <w:b/>
              </w:rPr>
              <w:t>Configuration</w:t>
            </w:r>
          </w:p>
        </w:tc>
        <w:tc>
          <w:tcPr>
            <w:tcW w:type="dxa" w:w="2381"/>
          </w:tcPr>
          <w:p>
            <w:pPr>
              <w:pStyle w:val="ITable"/>
            </w:pPr>
            <w:r/>
            <w:r>
              <w:rPr>
                <w:b/>
              </w:rPr>
              <w:t>F1</w:t>
            </w:r>
          </w:p>
        </w:tc>
        <w:tc>
          <w:tcPr>
            <w:tcW w:type="dxa" w:w="2381"/>
          </w:tcPr>
          <w:p>
            <w:pPr>
              <w:pStyle w:val="ITable"/>
            </w:pPr>
            <w:r/>
            <w:r>
              <w:rPr>
                <w:b/>
              </w:rPr>
              <w:t>ROC AUC</w:t>
            </w:r>
          </w:p>
        </w:tc>
        <w:tc>
          <w:tcPr>
            <w:tcW w:type="dxa" w:w="2381"/>
          </w:tcPr>
          <w:p>
            <w:pPr>
              <w:pStyle w:val="ITable"/>
            </w:pPr>
            <w:r/>
            <w:r>
              <w:rPr>
                <w:b/>
              </w:rPr>
              <w:t>ΔF1 vs all</w:t>
            </w:r>
          </w:p>
        </w:tc>
      </w:tr>
      <w:tr>
        <w:tc>
          <w:tcPr>
            <w:tcW w:type="dxa" w:w="2381"/>
          </w:tcPr>
          <w:p>
            <w:pPr>
              <w:pStyle w:val="ITable"/>
            </w:pPr>
            <w:r/>
            <w:r>
              <w:t>All modalities</w:t>
            </w:r>
          </w:p>
        </w:tc>
        <w:tc>
          <w:tcPr>
            <w:tcW w:type="dxa" w:w="2381"/>
          </w:tcPr>
          <w:p>
            <w:pPr>
              <w:pStyle w:val="ITable"/>
            </w:pPr>
            <w:r/>
            <w:r>
              <w:t>0.905 ± 0.041</w:t>
            </w:r>
          </w:p>
        </w:tc>
        <w:tc>
          <w:tcPr>
            <w:tcW w:type="dxa" w:w="2381"/>
          </w:tcPr>
          <w:p>
            <w:pPr>
              <w:pStyle w:val="ITable"/>
            </w:pPr>
            <w:r/>
            <w:r>
              <w:t>0.886</w:t>
            </w:r>
          </w:p>
        </w:tc>
        <w:tc>
          <w:tcPr>
            <w:tcW w:type="dxa" w:w="2381"/>
          </w:tcPr>
          <w:p>
            <w:pPr>
              <w:pStyle w:val="ITable"/>
            </w:pPr>
            <w:r/>
            <w:r>
              <w:t>n/a</w:t>
            </w:r>
          </w:p>
        </w:tc>
      </w:tr>
      <w:tr>
        <w:tc>
          <w:tcPr>
            <w:tcW w:type="dxa" w:w="2381"/>
          </w:tcPr>
          <w:p>
            <w:pPr>
              <w:pStyle w:val="ITable"/>
            </w:pPr>
            <w:r/>
            <w:r>
              <w:t>, without visual</w:t>
            </w:r>
          </w:p>
        </w:tc>
        <w:tc>
          <w:tcPr>
            <w:tcW w:type="dxa" w:w="2381"/>
          </w:tcPr>
          <w:p>
            <w:pPr>
              <w:pStyle w:val="ITable"/>
            </w:pPr>
            <w:r/>
            <w:r>
              <w:t>0.866 ± 0.018</w:t>
            </w:r>
          </w:p>
        </w:tc>
        <w:tc>
          <w:tcPr>
            <w:tcW w:type="dxa" w:w="2381"/>
          </w:tcPr>
          <w:p>
            <w:pPr>
              <w:pStyle w:val="ITable"/>
            </w:pPr>
            <w:r/>
            <w:r>
              <w:t>0.793</w:t>
            </w:r>
          </w:p>
        </w:tc>
        <w:tc>
          <w:tcPr>
            <w:tcW w:type="dxa" w:w="2381"/>
          </w:tcPr>
          <w:p>
            <w:pPr>
              <w:pStyle w:val="ITable"/>
            </w:pPr>
            <w:r/>
            <w:r>
              <w:t>−0.039</w:t>
            </w:r>
          </w:p>
        </w:tc>
      </w:tr>
      <w:tr>
        <w:tc>
          <w:tcPr>
            <w:tcW w:type="dxa" w:w="2381"/>
          </w:tcPr>
          <w:p>
            <w:pPr>
              <w:pStyle w:val="ITable"/>
            </w:pPr>
            <w:r/>
            <w:r>
              <w:t>, without acoustic</w:t>
            </w:r>
          </w:p>
        </w:tc>
        <w:tc>
          <w:tcPr>
            <w:tcW w:type="dxa" w:w="2381"/>
          </w:tcPr>
          <w:p>
            <w:pPr>
              <w:pStyle w:val="ITable"/>
            </w:pPr>
            <w:r/>
            <w:r>
              <w:t>0.901 ± 0.025</w:t>
            </w:r>
          </w:p>
        </w:tc>
        <w:tc>
          <w:tcPr>
            <w:tcW w:type="dxa" w:w="2381"/>
          </w:tcPr>
          <w:p>
            <w:pPr>
              <w:pStyle w:val="ITable"/>
            </w:pPr>
            <w:r/>
            <w:r>
              <w:t>0.892</w:t>
            </w:r>
          </w:p>
        </w:tc>
        <w:tc>
          <w:tcPr>
            <w:tcW w:type="dxa" w:w="2381"/>
          </w:tcPr>
          <w:p>
            <w:pPr>
              <w:pStyle w:val="ITable"/>
            </w:pPr>
            <w:r/>
            <w:r>
              <w:t>−0.004</w:t>
            </w:r>
          </w:p>
        </w:tc>
      </w:tr>
      <w:tr>
        <w:tc>
          <w:tcPr>
            <w:tcW w:type="dxa" w:w="2381"/>
          </w:tcPr>
          <w:p>
            <w:pPr>
              <w:pStyle w:val="ITable"/>
            </w:pPr>
            <w:r/>
            <w:r>
              <w:t>, without behaviour</w:t>
            </w:r>
          </w:p>
        </w:tc>
        <w:tc>
          <w:tcPr>
            <w:tcW w:type="dxa" w:w="2381"/>
          </w:tcPr>
          <w:p>
            <w:pPr>
              <w:pStyle w:val="ITable"/>
            </w:pPr>
            <w:r/>
            <w:r>
              <w:t>0.869 ± 0.031</w:t>
            </w:r>
          </w:p>
        </w:tc>
        <w:tc>
          <w:tcPr>
            <w:tcW w:type="dxa" w:w="2381"/>
          </w:tcPr>
          <w:p>
            <w:pPr>
              <w:pStyle w:val="ITable"/>
            </w:pPr>
            <w:r/>
            <w:r>
              <w:t>0.732</w:t>
            </w:r>
          </w:p>
        </w:tc>
        <w:tc>
          <w:tcPr>
            <w:tcW w:type="dxa" w:w="2381"/>
          </w:tcPr>
          <w:p>
            <w:pPr>
              <w:pStyle w:val="ITable"/>
            </w:pPr>
            <w:r/>
            <w:r>
              <w:t>−0.036</w:t>
            </w:r>
          </w:p>
        </w:tc>
      </w:tr>
      <w:tr>
        <w:tc>
          <w:tcPr>
            <w:tcW w:type="dxa" w:w="2381"/>
          </w:tcPr>
          <w:p>
            <w:pPr>
              <w:pStyle w:val="ITable"/>
            </w:pPr>
            <w:r/>
            <w:r>
              <w:t>Visual only</w:t>
            </w:r>
          </w:p>
        </w:tc>
        <w:tc>
          <w:tcPr>
            <w:tcW w:type="dxa" w:w="2381"/>
          </w:tcPr>
          <w:p>
            <w:pPr>
              <w:pStyle w:val="ITable"/>
            </w:pPr>
            <w:r/>
            <w:r>
              <w:t>0.727 ± 0.063</w:t>
            </w:r>
          </w:p>
        </w:tc>
        <w:tc>
          <w:tcPr>
            <w:tcW w:type="dxa" w:w="2381"/>
          </w:tcPr>
          <w:p>
            <w:pPr>
              <w:pStyle w:val="ITable"/>
            </w:pPr>
            <w:r/>
            <w:r>
              <w:t>0.684</w:t>
            </w:r>
          </w:p>
        </w:tc>
        <w:tc>
          <w:tcPr>
            <w:tcW w:type="dxa" w:w="2381"/>
          </w:tcPr>
          <w:p>
            <w:pPr>
              <w:pStyle w:val="ITable"/>
            </w:pPr>
            <w:r/>
            <w:r>
              <w:t>−0.178</w:t>
            </w:r>
          </w:p>
        </w:tc>
      </w:tr>
      <w:tr>
        <w:tc>
          <w:tcPr>
            <w:tcW w:type="dxa" w:w="2381"/>
          </w:tcPr>
          <w:p>
            <w:pPr>
              <w:pStyle w:val="ITable"/>
            </w:pPr>
            <w:r/>
            <w:r>
              <w:t>Acoustic only</w:t>
            </w:r>
          </w:p>
        </w:tc>
        <w:tc>
          <w:tcPr>
            <w:tcW w:type="dxa" w:w="2381"/>
          </w:tcPr>
          <w:p>
            <w:pPr>
              <w:pStyle w:val="ITable"/>
            </w:pPr>
            <w:r/>
            <w:r>
              <w:t>0.832 ± 0.011</w:t>
            </w:r>
          </w:p>
        </w:tc>
        <w:tc>
          <w:tcPr>
            <w:tcW w:type="dxa" w:w="2381"/>
          </w:tcPr>
          <w:p>
            <w:pPr>
              <w:pStyle w:val="ITable"/>
            </w:pPr>
            <w:r/>
            <w:r>
              <w:t>0.578</w:t>
            </w:r>
          </w:p>
        </w:tc>
        <w:tc>
          <w:tcPr>
            <w:tcW w:type="dxa" w:w="2381"/>
          </w:tcPr>
          <w:p>
            <w:pPr>
              <w:pStyle w:val="ITable"/>
            </w:pPr>
            <w:r/>
            <w:r>
              <w:t>−0.073</w:t>
            </w:r>
          </w:p>
        </w:tc>
      </w:tr>
    </w:tbl>
    <w:p>
      <w:pPr>
        <w:sectPr>
          <w:type w:val="continuous"/>
          <w:pgSz w:w="11906" w:h="16838"/>
          <w:pgMar w:top="1644" w:right="1077" w:bottom="1134" w:left="1304" w:header="936" w:footer="720"/>
          <w:cols w:num="1" w:space="284"/>
        </w:sectPr>
      </w:pPr>
    </w:p>
    <w:p>
      <w:pPr>
        <w:pStyle w:val="IText"/>
      </w:pPr>
      <w:r>
        <w:t>Two observations follow. First, the visual and behavioural modalities carry the most decision-relevant information: removing either costs roughly 0.04 F1 and, in the case of behaviour, drops ROC AUC from 0.886 to 0.732. Removing the acoustic modality barely changes F1 (−0.004), confirming that on this dataset acoustic cues are the most redundant of the three for the binary cheating decision, although they remain the only modality that can detect collaboration when the candidate is off-camera.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IFigure"/>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0"/>
                    <a:stretch>
                      <a:fillRect/>
                    </a:stretch>
                  </pic:blipFill>
                  <pic:spPr>
                    <a:xfrm>
                      <a:off x="0" y="0"/>
                      <a:ext cx="2880360" cy="1613002"/>
                    </a:xfrm>
                    <a:prstGeom prst="rect"/>
                  </pic:spPr>
                </pic:pic>
              </a:graphicData>
            </a:graphic>
          </wp:inline>
        </w:drawing>
      </w:r>
    </w:p>
    <w:p>
      <w:pPr>
        <w:pStyle w:val="IFigureCaption"/>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1"/>
                    <a:stretch>
                      <a:fillRect/>
                    </a:stretch>
                  </pic:blipFill>
                  <pic:spPr>
                    <a:xfrm>
                      <a:off x="0" y="0"/>
                      <a:ext cx="5852160" cy="4180114"/>
                    </a:xfrm>
                    <a:prstGeom prst="rect"/>
                  </pic:spPr>
                </pic:pic>
              </a:graphicData>
            </a:graphic>
          </wp:inline>
        </w:drawing>
      </w:r>
    </w:p>
    <w:p>
      <w:pPr>
        <w:pStyle w:val="IFigureCaption"/>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IFigure"/>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2"/>
                    <a:stretch>
                      <a:fillRect/>
                    </a:stretch>
                  </pic:blipFill>
                  <pic:spPr>
                    <a:xfrm>
                      <a:off x="0" y="0"/>
                      <a:ext cx="2880360" cy="2419502"/>
                    </a:xfrm>
                    <a:prstGeom prst="rect"/>
                  </pic:spPr>
                </pic:pic>
              </a:graphicData>
            </a:graphic>
          </wp:inline>
        </w:drawing>
      </w:r>
    </w:p>
    <w:p>
      <w:pPr>
        <w:pStyle w:val="IFigureCaption"/>
      </w:pPr>
      <w:r>
        <w:rPr>
          <w:b/>
        </w:rPr>
        <w:t xml:space="preserve">Figure 10: </w:t>
      </w:r>
      <w:r>
        <w:t>Confusion matrix of the random-forest fusion model under 5-fold cross-validation on the 300 real-feature sessions.</w:t>
      </w:r>
    </w:p>
    <w:p>
      <w:pPr>
        <w:pStyle w:val="IFigure"/>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3"/>
                    <a:stretch>
                      <a:fillRect/>
                    </a:stretch>
                  </pic:blipFill>
                  <pic:spPr>
                    <a:xfrm>
                      <a:off x="0" y="0"/>
                      <a:ext cx="2880360" cy="1613002"/>
                    </a:xfrm>
                    <a:prstGeom prst="rect"/>
                  </pic:spPr>
                </pic:pic>
              </a:graphicData>
            </a:graphic>
          </wp:inline>
        </w:drawing>
      </w:r>
    </w:p>
    <w:p>
      <w:pPr>
        <w:pStyle w:val="IFigureCaption"/>
      </w:pPr>
      <w:r>
        <w:rPr>
          <w:b/>
        </w:rPr>
        <w:t xml:space="preserve">Figure 11: </w:t>
      </w:r>
      <w:r>
        <w:t>Ablation of the random-forest fusion model: leave-one-modality-out (upper) and single-modality (lower).</w:t>
      </w:r>
    </w:p>
    <w:p>
      <w:pPr>
        <w:pStyle w:val="ISubSectionTitle"/>
      </w:pPr>
      <w:r>
        <w:rPr>
          <w:b/>
        </w:rPr>
        <w:t>Latency, Memory, and Real-Time Feasibility</w:t>
      </w:r>
    </w:p>
    <w:p>
      <w:pPr>
        <w:pStyle w:val="ITex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ITableCaption"/>
      </w:pPr>
      <w:r>
        <w:rPr>
          <w:b/>
        </w:rPr>
        <w:t xml:space="preserve">Table 7: </w:t>
      </w:r>
      <w:r>
        <w:t>Inference latency on the Apple M4 Max host (mean ± SD over 80 calls after a 3-call warm-up; median, p95 and p99 in ms).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1361"/>
        <w:gridCol w:w="1361"/>
        <w:gridCol w:w="1361"/>
        <w:gridCol w:w="1361"/>
        <w:gridCol w:w="1361"/>
        <w:gridCol w:w="1361"/>
      </w:tblGrid>
      <w:tr>
        <w:tc>
          <w:tcPr>
            <w:tcW w:type="dxa" w:w="1361"/>
          </w:tcPr>
          <w:p>
            <w:pPr>
              <w:pStyle w:val="ITable"/>
            </w:pPr>
            <w:r/>
            <w:r>
              <w:rPr>
                <w:b/>
              </w:rPr>
              <w:t>Component</w:t>
            </w:r>
          </w:p>
        </w:tc>
        <w:tc>
          <w:tcPr>
            <w:tcW w:type="dxa" w:w="1361"/>
          </w:tcPr>
          <w:p>
            <w:pPr>
              <w:pStyle w:val="ITable"/>
            </w:pPr>
            <w:r/>
            <w:r>
              <w:rPr>
                <w:b/>
              </w:rPr>
              <w:t>Configuration</w:t>
            </w:r>
          </w:p>
        </w:tc>
        <w:tc>
          <w:tcPr>
            <w:tcW w:type="dxa" w:w="1361"/>
          </w:tcPr>
          <w:p>
            <w:pPr>
              <w:pStyle w:val="ITable"/>
            </w:pPr>
            <w:r/>
            <w:r>
              <w:rPr>
                <w:b/>
              </w:rPr>
              <w:t>Mean</w:t>
            </w:r>
          </w:p>
        </w:tc>
        <w:tc>
          <w:tcPr>
            <w:tcW w:type="dxa" w:w="1361"/>
          </w:tcPr>
          <w:p>
            <w:pPr>
              <w:pStyle w:val="ITable"/>
            </w:pPr>
            <w:r/>
            <w:r>
              <w:rPr>
                <w:b/>
              </w:rPr>
              <w:t>SD</w:t>
            </w:r>
          </w:p>
        </w:tc>
        <w:tc>
          <w:tcPr>
            <w:tcW w:type="dxa" w:w="1361"/>
          </w:tcPr>
          <w:p>
            <w:pPr>
              <w:pStyle w:val="ITable"/>
            </w:pPr>
            <w:r/>
            <w:r>
              <w:rPr>
                <w:b/>
              </w:rPr>
              <w:t>Median</w:t>
            </w:r>
          </w:p>
        </w:tc>
        <w:tc>
          <w:tcPr>
            <w:tcW w:type="dxa" w:w="1361"/>
          </w:tcPr>
          <w:p>
            <w:pPr>
              <w:pStyle w:val="ITable"/>
            </w:pPr>
            <w:r/>
            <w:r>
              <w:rPr>
                <w:b/>
              </w:rPr>
              <w:t>p95</w:t>
            </w:r>
          </w:p>
        </w:tc>
        <w:tc>
          <w:tcPr>
            <w:tcW w:type="dxa" w:w="1361"/>
          </w:tcPr>
          <w:p>
            <w:pPr>
              <w:pStyle w:val="ITable"/>
            </w:pPr>
            <w:r/>
            <w:r>
              <w:rPr>
                <w:b/>
              </w:rPr>
              <w:t>p99</w:t>
            </w:r>
          </w:p>
        </w:tc>
      </w:tr>
      <w:tr>
        <w:tc>
          <w:tcPr>
            <w:tcW w:type="dxa" w:w="1361"/>
          </w:tcPr>
          <w:p>
            <w:pPr>
              <w:pStyle w:val="ITable"/>
            </w:pPr>
            <w:r/>
            <w:r>
              <w:t>YOLOv8-s (640×480 frame)</w:t>
            </w:r>
          </w:p>
        </w:tc>
        <w:tc>
          <w:tcPr>
            <w:tcW w:type="dxa" w:w="1361"/>
          </w:tcPr>
          <w:p>
            <w:pPr>
              <w:pStyle w:val="ITable"/>
            </w:pPr>
            <w:r/>
            <w:r>
              <w:t>MPS (GPU)</w:t>
            </w:r>
          </w:p>
        </w:tc>
        <w:tc>
          <w:tcPr>
            <w:tcW w:type="dxa" w:w="1361"/>
          </w:tcPr>
          <w:p>
            <w:pPr>
              <w:pStyle w:val="ITable"/>
            </w:pPr>
            <w:r/>
            <w:r>
              <w:t>37.7</w:t>
            </w:r>
          </w:p>
        </w:tc>
        <w:tc>
          <w:tcPr>
            <w:tcW w:type="dxa" w:w="1361"/>
          </w:tcPr>
          <w:p>
            <w:pPr>
              <w:pStyle w:val="ITable"/>
            </w:pPr>
            <w:r/>
            <w:r>
              <w:t>17.0</w:t>
            </w:r>
          </w:p>
        </w:tc>
        <w:tc>
          <w:tcPr>
            <w:tcW w:type="dxa" w:w="1361"/>
          </w:tcPr>
          <w:p>
            <w:pPr>
              <w:pStyle w:val="ITable"/>
            </w:pPr>
            <w:r/>
            <w:r>
              <w:t>34.4</w:t>
            </w:r>
          </w:p>
        </w:tc>
        <w:tc>
          <w:tcPr>
            <w:tcW w:type="dxa" w:w="1361"/>
          </w:tcPr>
          <w:p>
            <w:pPr>
              <w:pStyle w:val="ITable"/>
            </w:pPr>
            <w:r/>
            <w:r>
              <w:t>44.8</w:t>
            </w:r>
          </w:p>
        </w:tc>
        <w:tc>
          <w:tcPr>
            <w:tcW w:type="dxa" w:w="1361"/>
          </w:tcPr>
          <w:p>
            <w:pPr>
              <w:pStyle w:val="ITable"/>
            </w:pPr>
            <w:r/>
            <w:r>
              <w:t>123.0</w:t>
            </w:r>
          </w:p>
        </w:tc>
      </w:tr>
      <w:tr>
        <w:tc>
          <w:tcPr>
            <w:tcW w:type="dxa" w:w="1361"/>
          </w:tcPr>
          <w:p>
            <w:pPr>
              <w:pStyle w:val="ITable"/>
            </w:pPr>
            <w:r/>
            <w:r>
              <w:t>YOLOv8-s (640×480 frame)</w:t>
            </w:r>
          </w:p>
        </w:tc>
        <w:tc>
          <w:tcPr>
            <w:tcW w:type="dxa" w:w="1361"/>
          </w:tcPr>
          <w:p>
            <w:pPr>
              <w:pStyle w:val="ITable"/>
            </w:pPr>
            <w:r/>
            <w:r>
              <w:t>CPU only</w:t>
            </w:r>
          </w:p>
        </w:tc>
        <w:tc>
          <w:tcPr>
            <w:tcW w:type="dxa" w:w="1361"/>
          </w:tcPr>
          <w:p>
            <w:pPr>
              <w:pStyle w:val="ITable"/>
            </w:pPr>
            <w:r/>
            <w:r>
              <w:t>47.1</w:t>
            </w:r>
          </w:p>
        </w:tc>
        <w:tc>
          <w:tcPr>
            <w:tcW w:type="dxa" w:w="1361"/>
          </w:tcPr>
          <w:p>
            <w:pPr>
              <w:pStyle w:val="ITable"/>
            </w:pPr>
            <w:r/>
            <w:r>
              <w:t>4.9</w:t>
            </w:r>
          </w:p>
        </w:tc>
        <w:tc>
          <w:tcPr>
            <w:tcW w:type="dxa" w:w="1361"/>
          </w:tcPr>
          <w:p>
            <w:pPr>
              <w:pStyle w:val="ITable"/>
            </w:pPr>
            <w:r/>
            <w:r>
              <w:t>47.2</w:t>
            </w:r>
          </w:p>
        </w:tc>
        <w:tc>
          <w:tcPr>
            <w:tcW w:type="dxa" w:w="1361"/>
          </w:tcPr>
          <w:p>
            <w:pPr>
              <w:pStyle w:val="ITable"/>
            </w:pPr>
            <w:r/>
            <w:r>
              <w:t>54.9</w:t>
            </w:r>
          </w:p>
        </w:tc>
        <w:tc>
          <w:tcPr>
            <w:tcW w:type="dxa" w:w="1361"/>
          </w:tcPr>
          <w:p>
            <w:pPr>
              <w:pStyle w:val="ITable"/>
            </w:pPr>
            <w:r/>
            <w:r>
              <w:t>59.4</w:t>
            </w:r>
          </w:p>
        </w:tc>
      </w:tr>
      <w:tr>
        <w:tc>
          <w:tcPr>
            <w:tcW w:type="dxa" w:w="1361"/>
          </w:tcPr>
          <w:p>
            <w:pPr>
              <w:pStyle w:val="ITable"/>
            </w:pPr>
            <w:r/>
            <w:r>
              <w:t>MediaPipe behaviour (per landmark set)</w:t>
            </w:r>
          </w:p>
        </w:tc>
        <w:tc>
          <w:tcPr>
            <w:tcW w:type="dxa" w:w="1361"/>
          </w:tcPr>
          <w:p>
            <w:pPr>
              <w:pStyle w:val="ITable"/>
            </w:pPr>
            <w:r/>
            <w:r>
              <w:t>CPU</w:t>
            </w:r>
          </w:p>
        </w:tc>
        <w:tc>
          <w:tcPr>
            <w:tcW w:type="dxa" w:w="1361"/>
          </w:tcPr>
          <w:p>
            <w:pPr>
              <w:pStyle w:val="ITable"/>
            </w:pPr>
            <w:r/>
            <w:r>
              <w:t>0.027</w:t>
            </w:r>
          </w:p>
        </w:tc>
        <w:tc>
          <w:tcPr>
            <w:tcW w:type="dxa" w:w="1361"/>
          </w:tcPr>
          <w:p>
            <w:pPr>
              <w:pStyle w:val="ITable"/>
            </w:pPr>
            <w:r/>
            <w:r>
              <w:t>0.008</w:t>
            </w:r>
          </w:p>
        </w:tc>
        <w:tc>
          <w:tcPr>
            <w:tcW w:type="dxa" w:w="1361"/>
          </w:tcPr>
          <w:p>
            <w:pPr>
              <w:pStyle w:val="ITable"/>
            </w:pPr>
            <w:r/>
            <w:r>
              <w:t>0.026</w:t>
            </w:r>
          </w:p>
        </w:tc>
        <w:tc>
          <w:tcPr>
            <w:tcW w:type="dxa" w:w="1361"/>
          </w:tcPr>
          <w:p>
            <w:pPr>
              <w:pStyle w:val="ITable"/>
            </w:pPr>
            <w:r/>
            <w:r>
              <w:t>0.032</w:t>
            </w:r>
          </w:p>
        </w:tc>
        <w:tc>
          <w:tcPr>
            <w:tcW w:type="dxa" w:w="1361"/>
          </w:tcPr>
          <w:p>
            <w:pPr>
              <w:pStyle w:val="ITable"/>
            </w:pPr>
            <w:r/>
            <w:r>
              <w:t>0.068</w:t>
            </w:r>
          </w:p>
        </w:tc>
      </w:tr>
      <w:tr>
        <w:tc>
          <w:tcPr>
            <w:tcW w:type="dxa" w:w="1361"/>
          </w:tcPr>
          <w:p>
            <w:pPr>
              <w:pStyle w:val="ITable"/>
            </w:pPr>
            <w:r/>
            <w:r>
              <w:t>Whisper-Base encoder (5-s buffer)</w:t>
            </w:r>
          </w:p>
        </w:tc>
        <w:tc>
          <w:tcPr>
            <w:tcW w:type="dxa" w:w="1361"/>
          </w:tcPr>
          <w:p>
            <w:pPr>
              <w:pStyle w:val="ITable"/>
            </w:pPr>
            <w:r/>
            <w:r>
              <w:t>CPU</w:t>
            </w:r>
          </w:p>
        </w:tc>
        <w:tc>
          <w:tcPr>
            <w:tcW w:type="dxa" w:w="1361"/>
          </w:tcPr>
          <w:p>
            <w:pPr>
              <w:pStyle w:val="ITable"/>
            </w:pPr>
            <w:r/>
            <w:r>
              <w:t>119.3</w:t>
            </w:r>
          </w:p>
        </w:tc>
        <w:tc>
          <w:tcPr>
            <w:tcW w:type="dxa" w:w="1361"/>
          </w:tcPr>
          <w:p>
            <w:pPr>
              <w:pStyle w:val="ITable"/>
            </w:pPr>
            <w:r/>
            <w:r>
              <w:t>12.2</w:t>
            </w:r>
          </w:p>
        </w:tc>
        <w:tc>
          <w:tcPr>
            <w:tcW w:type="dxa" w:w="1361"/>
          </w:tcPr>
          <w:p>
            <w:pPr>
              <w:pStyle w:val="ITable"/>
            </w:pPr>
            <w:r/>
            <w:r>
              <w:t>121.0</w:t>
            </w:r>
          </w:p>
        </w:tc>
        <w:tc>
          <w:tcPr>
            <w:tcW w:type="dxa" w:w="1361"/>
          </w:tcPr>
          <w:p>
            <w:pPr>
              <w:pStyle w:val="ITable"/>
            </w:pPr>
            <w:r/>
            <w:r>
              <w:t>133.6</w:t>
            </w:r>
          </w:p>
        </w:tc>
        <w:tc>
          <w:tcPr>
            <w:tcW w:type="dxa" w:w="1361"/>
          </w:tcPr>
          <w:p>
            <w:pPr>
              <w:pStyle w:val="ITable"/>
            </w:pPr>
            <w:r/>
            <w:r>
              <w:t>139.0</w:t>
            </w:r>
          </w:p>
        </w:tc>
      </w:tr>
      <w:tr>
        <w:tc>
          <w:tcPr>
            <w:tcW w:type="dxa" w:w="1361"/>
          </w:tcPr>
          <w:p>
            <w:pPr>
              <w:pStyle w:val="ITable"/>
            </w:pPr>
            <w:r/>
            <w:r>
              <w:t>Whisper-Base (per-frame equivalent at 5 FPS)</w:t>
            </w:r>
          </w:p>
        </w:tc>
        <w:tc>
          <w:tcPr>
            <w:tcW w:type="dxa" w:w="1361"/>
          </w:tcPr>
          <w:p>
            <w:pPr>
              <w:pStyle w:val="ITable"/>
            </w:pPr>
            <w:r/>
            <w:r>
              <w:t>CPU</w:t>
            </w:r>
          </w:p>
        </w:tc>
        <w:tc>
          <w:tcPr>
            <w:tcW w:type="dxa" w:w="1361"/>
          </w:tcPr>
          <w:p>
            <w:pPr>
              <w:pStyle w:val="ITable"/>
            </w:pPr>
            <w:r/>
            <w:r>
              <w:t>23.9</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t>Fusion (random forest, single event)</w:t>
            </w:r>
          </w:p>
        </w:tc>
        <w:tc>
          <w:tcPr>
            <w:tcW w:type="dxa" w:w="1361"/>
          </w:tcPr>
          <w:p>
            <w:pPr>
              <w:pStyle w:val="ITable"/>
            </w:pPr>
            <w:r/>
            <w:r>
              <w:t>CPU</w:t>
            </w:r>
          </w:p>
        </w:tc>
        <w:tc>
          <w:tcPr>
            <w:tcW w:type="dxa" w:w="1361"/>
          </w:tcPr>
          <w:p>
            <w:pPr>
              <w:pStyle w:val="ITable"/>
            </w:pPr>
            <w:r/>
            <w:r>
              <w:t>4.5</w:t>
            </w:r>
          </w:p>
        </w:tc>
        <w:tc>
          <w:tcPr>
            <w:tcW w:type="dxa" w:w="1361"/>
          </w:tcPr>
          <w:p>
            <w:pPr>
              <w:pStyle w:val="ITable"/>
            </w:pPr>
            <w:r/>
            <w:r>
              <w:t>0.9</w:t>
            </w:r>
          </w:p>
        </w:tc>
        <w:tc>
          <w:tcPr>
            <w:tcW w:type="dxa" w:w="1361"/>
          </w:tcPr>
          <w:p>
            <w:pPr>
              <w:pStyle w:val="ITable"/>
            </w:pPr>
            <w:r/>
            <w:r>
              <w:t>4.3</w:t>
            </w:r>
          </w:p>
        </w:tc>
        <w:tc>
          <w:tcPr>
            <w:tcW w:type="dxa" w:w="1361"/>
          </w:tcPr>
          <w:p>
            <w:pPr>
              <w:pStyle w:val="ITable"/>
            </w:pPr>
            <w:r/>
            <w:r>
              <w:t>5.6</w:t>
            </w:r>
          </w:p>
        </w:tc>
        <w:tc>
          <w:tcPr>
            <w:tcW w:type="dxa" w:w="1361"/>
          </w:tcPr>
          <w:p>
            <w:pPr>
              <w:pStyle w:val="ITable"/>
            </w:pPr>
            <w:r/>
            <w:r>
              <w:t>7.1</w:t>
            </w:r>
          </w:p>
        </w:tc>
      </w:tr>
      <w:tr>
        <w:tc>
          <w:tcPr>
            <w:tcW w:type="dxa" w:w="1361"/>
          </w:tcPr>
          <w:p>
            <w:pPr>
              <w:pStyle w:val="ITable"/>
            </w:pPr>
            <w:r/>
            <w:r>
              <w:rPr>
                <w:b/>
              </w:rPr>
              <w:t>End-to-end frame budget</w:t>
            </w:r>
          </w:p>
        </w:tc>
        <w:tc>
          <w:tcPr>
            <w:tcW w:type="dxa" w:w="1361"/>
          </w:tcPr>
          <w:p>
            <w:pPr>
              <w:pStyle w:val="ITable"/>
            </w:pPr>
            <w:r/>
            <w:r>
              <w:t>MPS</w:t>
            </w:r>
          </w:p>
        </w:tc>
        <w:tc>
          <w:tcPr>
            <w:tcW w:type="dxa" w:w="1361"/>
          </w:tcPr>
          <w:p>
            <w:pPr>
              <w:pStyle w:val="ITable"/>
            </w:pPr>
            <w:r/>
            <w:r>
              <w:rPr>
                <w:b/>
              </w:rPr>
              <w:t>42.2</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End-to-end frame budget</w:t>
            </w:r>
          </w:p>
        </w:tc>
        <w:tc>
          <w:tcPr>
            <w:tcW w:type="dxa" w:w="1361"/>
          </w:tcPr>
          <w:p>
            <w:pPr>
              <w:pStyle w:val="ITable"/>
            </w:pPr>
            <w:r/>
            <w:r>
              <w:t>CPU only</w:t>
            </w:r>
          </w:p>
        </w:tc>
        <w:tc>
          <w:tcPr>
            <w:tcW w:type="dxa" w:w="1361"/>
          </w:tcPr>
          <w:p>
            <w:pPr>
              <w:pStyle w:val="ITable"/>
            </w:pPr>
            <w:r/>
            <w:r>
              <w:rPr>
                <w:b/>
              </w:rPr>
              <w:t>51.6</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MPS</w:t>
            </w:r>
          </w:p>
        </w:tc>
        <w:tc>
          <w:tcPr>
            <w:tcW w:type="dxa" w:w="1361"/>
          </w:tcPr>
          <w:p>
            <w:pPr>
              <w:pStyle w:val="ITable"/>
            </w:pPr>
            <w:r/>
            <w:r>
              <w:rPr>
                <w:b/>
              </w:rPr>
              <w:t>23.7</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r>
        <w:tc>
          <w:tcPr>
            <w:tcW w:type="dxa" w:w="1361"/>
          </w:tcPr>
          <w:p>
            <w:pPr>
              <w:pStyle w:val="ITable"/>
            </w:pPr>
            <w:r/>
            <w:r>
              <w:rPr>
                <w:b/>
              </w:rPr>
              <w:t>Maximum sustainable FPS</w:t>
            </w:r>
          </w:p>
        </w:tc>
        <w:tc>
          <w:tcPr>
            <w:tcW w:type="dxa" w:w="1361"/>
          </w:tcPr>
          <w:p>
            <w:pPr>
              <w:pStyle w:val="ITable"/>
            </w:pPr>
            <w:r/>
            <w:r>
              <w:t>CPU only</w:t>
            </w:r>
          </w:p>
        </w:tc>
        <w:tc>
          <w:tcPr>
            <w:tcW w:type="dxa" w:w="1361"/>
          </w:tcPr>
          <w:p>
            <w:pPr>
              <w:pStyle w:val="ITable"/>
            </w:pPr>
            <w:r/>
            <w:r>
              <w:rPr>
                <w:b/>
              </w:rPr>
              <w:t>19.4</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c>
          <w:tcPr>
            <w:tcW w:type="dxa" w:w="1361"/>
          </w:tcPr>
          <w:p>
            <w:pPr>
              <w:pStyle w:val="ITable"/>
            </w:pPr>
            <w:r/>
            <w:r>
              <w:t>n/a</w:t>
            </w:r>
          </w:p>
        </w:tc>
      </w:tr>
    </w:tbl>
    <w:p>
      <w:pPr>
        <w:sectPr>
          <w:type w:val="continuous"/>
          <w:pgSz w:w="11906" w:h="16838"/>
          <w:pgMar w:top="1644" w:right="1077" w:bottom="1134" w:left="1304" w:header="936" w:footer="720"/>
          <w:cols w:num="1" w:space="284"/>
        </w:sectPr>
      </w:pPr>
    </w:p>
    <w:p>
      <w:pPr>
        <w:pStyle w:val="IText"/>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4"/>
                    <a:stretch>
                      <a:fillRect/>
                    </a:stretch>
                  </pic:blipFill>
                  <pic:spPr>
                    <a:xfrm>
                      <a:off x="0" y="0"/>
                      <a:ext cx="5852160" cy="2984602"/>
                    </a:xfrm>
                    <a:prstGeom prst="rect"/>
                  </pic:spPr>
                </pic:pic>
              </a:graphicData>
            </a:graphic>
          </wp:inline>
        </w:drawing>
      </w:r>
    </w:p>
    <w:p>
      <w:pPr>
        <w:pStyle w:val="IFigureCaption"/>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ISubSectionTitle"/>
      </w:pPr>
      <w:r>
        <w:rPr>
          <w:b/>
        </w:rPr>
        <w:t>Robustness</w:t>
      </w:r>
    </w:p>
    <w:p>
      <w:pPr>
        <w:pStyle w:val="ITex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IFigure"/>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5"/>
                    <a:stretch>
                      <a:fillRect/>
                    </a:stretch>
                  </pic:blipFill>
                  <pic:spPr>
                    <a:xfrm>
                      <a:off x="0" y="0"/>
                      <a:ext cx="5852160" cy="1839250"/>
                    </a:xfrm>
                    <a:prstGeom prst="rect"/>
                  </pic:spPr>
                </pic:pic>
              </a:graphicData>
            </a:graphic>
          </wp:inline>
        </w:drawing>
      </w:r>
    </w:p>
    <w:p>
      <w:pPr>
        <w:pStyle w:val="IFigureCaption"/>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ISubSectionTitle"/>
      </w:pPr>
      <w:r>
        <w:rPr>
          <w:b/>
        </w:rPr>
        <w:t>Adversarial Privacy Verification</w:t>
      </w:r>
    </w:p>
    <w:p>
      <w:pPr>
        <w:pStyle w:val="IText"/>
      </w:pPr>
      <w:r>
        <w:t>Figure 14 summarizes the adversarial study. We use 30 real LibriSpeech `dev-clean` speakers as candidates, with 10 utterances per speaker (300 trials in total):</w:t>
      </w:r>
    </w:p>
    <w:p>
      <w:pPr>
        <w:pStyle w:val="IText"/>
      </w:pPr>
      <w:r>
        <w:t xml:space="preserve">• </w:t>
      </w:r>
      <w:r>
        <w:t xml:space="preserve">A raw-audio attacker that extracts mel-frequency cepstral coefficients from the raw 16 kHz audio buffer (the kind of artefact a conventional proctoring system would retain) achieves a re-identification AUC of </w:t>
      </w:r>
      <w:r>
        <w:rPr>
          <w:b/>
        </w:rPr>
        <w:t>0.994 ± 0.006</w:t>
      </w:r>
      <w:r>
        <w:t>, confirming that raw recordings of real speakers do allow near-perfect identification.</w:t>
      </w:r>
    </w:p>
    <w:p>
      <w:pPr>
        <w:pStyle w:val="IText"/>
      </w:pPr>
      <w:r>
        <w:t xml:space="preserve">• </w:t>
      </w:r>
      <w:r>
        <w:t xml:space="preserve">A metadata-only attacker using the same classifier on the event log emitted by the proposed system achieves an AUC of </w:t>
      </w:r>
      <w:r>
        <w:rPr>
          <w:b/>
        </w:rPr>
        <w:t>0.478 ± 0.030</w:t>
      </w:r>
      <w:r>
        <w:t>, statistically indistinguishable from the 0.5 chance level.</w:t>
      </w:r>
    </w:p>
    <w:p>
      <w:pPr>
        <w:pStyle w:val="IText"/>
      </w:pPr>
      <w:r>
        <w:t>This grounds the privacy claim in measurable evidence rather than design assertions, and combined with the absence of biometric template storage and raw-media retention (Section 3) it is a stronger guarantee than the qualitative privacy arguments common in the proctoring literature. We note the metadata-attacker AUC of 0.478 is marginally below 0.5; on 30 candidates this is within sampling noise of chance and should be read as "no better than chance," not as evidence of below-chance performance.</w:t>
      </w:r>
    </w:p>
    <w:p>
      <w:pPr>
        <w:pStyle w:val="IFigure"/>
        <w:jc w:val="center"/>
      </w:pPr>
      <w:r>
        <w:drawing>
          <wp:inline xmlns:a="http://schemas.openxmlformats.org/drawingml/2006/main" xmlns:pic="http://schemas.openxmlformats.org/drawingml/2006/picture">
            <wp:extent cx="2880360" cy="1861156"/>
            <wp:docPr id="14" name="Picture 14"/>
            <wp:cNvGraphicFramePr>
              <a:graphicFrameLocks noChangeAspect="1"/>
            </wp:cNvGraphicFramePr>
            <a:graphic>
              <a:graphicData uri="http://schemas.openxmlformats.org/drawingml/2006/picture">
                <pic:pic>
                  <pic:nvPicPr>
                    <pic:cNvPr id="0" name="fig_privacy.png"/>
                    <pic:cNvPicPr/>
                  </pic:nvPicPr>
                  <pic:blipFill>
                    <a:blip r:embed="rId26"/>
                    <a:stretch>
                      <a:fillRect/>
                    </a:stretch>
                  </pic:blipFill>
                  <pic:spPr>
                    <a:xfrm>
                      <a:off x="0" y="0"/>
                      <a:ext cx="2880360" cy="1861156"/>
                    </a:xfrm>
                    <a:prstGeom prst="rect"/>
                  </pic:spPr>
                </pic:pic>
              </a:graphicData>
            </a:graphic>
          </wp:inline>
        </w:drawing>
      </w:r>
    </w:p>
    <w:p>
      <w:pPr>
        <w:pStyle w:val="IFigureCaption"/>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ISectionTitle"/>
      </w:pPr>
      <w:r>
        <w:rPr>
          <w:b/>
        </w:rPr>
        <w:t>Discussion</w:t>
      </w:r>
    </w:p>
    <w:p>
      <w:pPr>
        <w:pStyle w:val="ISubSectionTitle"/>
      </w:pPr>
      <w:r>
        <w:rPr>
          <w:b/>
        </w:rPr>
        <w:t>Compliance Alignment</w:t>
      </w:r>
    </w:p>
    <w:p>
      <w:pPr>
        <w:pStyle w:val="ITex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IText"/>
      </w:pPr>
      <w:r>
        <w:t xml:space="preserve">• </w:t>
      </w:r>
      <w:r>
        <w:rPr>
          <w:i/>
        </w:rPr>
        <w:t>GDPR Article 9 / Law 09-08 (sensitive data)</w:t>
      </w:r>
      <w:r>
        <w:t>, no biometric template, face embedding, or voiceprint is computed or stored, so the system does not process biometric data for unique identification in the sense of GDPR Article 4(14); the special-category prohibition is therefore not engaged for the modality outputs we retain.</w:t>
      </w:r>
    </w:p>
    <w:p>
      <w:pPr>
        <w:pStyle w:val="IText"/>
      </w:pPr>
      <w:r>
        <w:t xml:space="preserve">• </w:t>
      </w:r>
      <w:r>
        <w:rPr>
          <w:i/>
        </w:rPr>
        <w:t>GDPR Article 25</w:t>
      </w:r>
      <w:r>
        <w:t>, data protection by design and by default is implemented at the architectural level (no decoder; volatile buffers; metadata-only persistence).</w:t>
      </w:r>
    </w:p>
    <w:p>
      <w:pPr>
        <w:pStyle w:val="ITex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ITex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ISubSectionTitle"/>
      </w:pPr>
      <w:r>
        <w:rPr>
          <w:b/>
        </w:rPr>
        <w:t>Comparison to Prior Systems</w:t>
      </w:r>
    </w:p>
    <w:p>
      <w:pPr>
        <w:pStyle w:val="ITex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ISubSectionTitle"/>
      </w:pPr>
      <w:r>
        <w:rPr>
          <w:b/>
        </w:rPr>
        <w:t>Threats to Validity</w:t>
      </w:r>
    </w:p>
    <w:p>
      <w:pPr>
        <w:pStyle w:val="ITex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pStyle w:val="IText"/>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pStyle w:val="IText"/>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pStyle w:val="IText"/>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ISectionTitle"/>
      </w:pPr>
      <w:r>
        <w:rPr>
          <w:b/>
        </w:rPr>
        <w:t>Limitations and Future Work</w:t>
      </w:r>
    </w:p>
    <w:p>
      <w:pPr>
        <w:pStyle w:val="IText"/>
      </w:pPr>
      <w:r>
        <w:t>The current prototype has five primary limitations:</w:t>
      </w:r>
    </w:p>
    <w:p>
      <w:pPr>
        <w:pStyle w:val="ITex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ITex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ITex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ITex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ITex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pStyle w:val="IText"/>
      </w:pPr>
      <w:r>
        <w:t>In addition, three research directions follow naturally:</w:t>
      </w:r>
    </w:p>
    <w:p>
      <w:pPr>
        <w:pStyle w:val="IText"/>
      </w:pPr>
      <w:r>
        <w:t xml:space="preserve">• </w:t>
      </w:r>
      <w:r>
        <w:t>Differentially private gaze and lip-movement signals to bound information leakage to a configurable ε budget.</w:t>
      </w:r>
    </w:p>
    <w:p>
      <w:pPr>
        <w:pStyle w:val="IText"/>
      </w:pPr>
      <w:r>
        <w:t xml:space="preserve">• </w:t>
      </w:r>
      <w:r>
        <w:t>A formal proof of non-invertibility for the Whisper-encoder embedding under our content-free configuration.</w:t>
      </w:r>
    </w:p>
    <w:p>
      <w:pPr>
        <w:pStyle w:val="IText"/>
      </w:pPr>
      <w:r>
        <w:t xml:space="preserve">• </w:t>
      </w:r>
      <w:r>
        <w:t>A longitudinal study across at least three Moroccan universities to validate cross-cohort generalisation and gather examiner feedback for the active-learning loop.</w:t>
      </w:r>
    </w:p>
    <w:p>
      <w:pPr>
        <w:pStyle w:val="ISectionTitle"/>
      </w:pPr>
      <w:r>
        <w:rPr>
          <w:b/>
        </w:rPr>
        <w:t>Conclusion</w:t>
      </w:r>
    </w:p>
    <w:p>
      <w:pPr>
        <w:pStyle w:val="ITex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and the metadata stream cannot be inverted to re-identify candidates (AUC = 0.478, chance level), while the raw-audio analogue allows near-perfect identification (AUC = 0.994).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IReferences"/>
      </w:pPr>
      <w:r>
        <w:rPr>
          <w:b/>
        </w:rPr>
        <w:t>Data and Code Availability</w:t>
      </w:r>
    </w:p>
    <w:p>
      <w:pPr>
        <w:pStyle w:val="ITex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IReferences"/>
      </w:pPr>
      <w:r>
        <w:rPr>
          <w:b/>
        </w:rPr>
        <w:t>Acknowledgements</w:t>
      </w:r>
    </w:p>
    <w:p>
      <w:pPr>
        <w:pStyle w:val="ITex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IReferences"/>
      </w:pPr>
      <w:r>
        <w:rPr>
          <w:b/>
        </w:rPr>
        <w:t>References</w:t>
      </w:r>
    </w:p>
    <w:p>
      <w:pPr>
        <w:pStyle w:val="IText"/>
        <w:ind w:left="340" w:hanging="340"/>
      </w:pPr>
      <w:r>
        <w:t xml:space="preserve">[1] S. Coghlan, T. Miller, and J. Paterson, "Good proctor or 'big brother'? Ethics of online exam supervision technologies," </w:t>
      </w:r>
      <w:r>
        <w:rPr>
          <w:i/>
        </w:rPr>
        <w:t>Philosophy &amp; Technology</w:t>
      </w:r>
      <w:r>
        <w:t>, vol. 34, no. 4, pp. 1581–1606, 2021, doi: 10.1007/s13347-021-00476-1.</w:t>
      </w:r>
    </w:p>
    <w:p>
      <w:pPr>
        <w:pStyle w:val="IText"/>
        <w:ind w:left="340" w:hanging="340"/>
      </w:pPr>
      <w:r>
        <w:t xml:space="preserve">[2] N. Selwyn, C. O'Neill, G. Smith, M. Andrejevic, and X. Gu, "A necessary evil? The rise of online exam proctoring in Australian universities," </w:t>
      </w:r>
      <w:r>
        <w:rPr>
          <w:i/>
        </w:rPr>
        <w:t>Media International Australia</w:t>
      </w:r>
      <w:r>
        <w:t>, vol. 186, no. 1, pp. 149–164, 2023, doi: 10.1177/1329878X211005862.</w:t>
      </w:r>
    </w:p>
    <w:p>
      <w:pPr>
        <w:pStyle w:val="IText"/>
        <w:ind w:left="340" w:hanging="340"/>
      </w:pPr>
      <w:r>
        <w:t xml:space="preserve">[3] 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IText"/>
        <w:ind w:left="340" w:hanging="340"/>
      </w:pPr>
      <w:r>
        <w:t xml:space="preserve">[4] 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IText"/>
        <w:ind w:left="340" w:hanging="340"/>
      </w:pPr>
      <w:r>
        <w:t xml:space="preserve">[5] Royaume du Maroc, </w:t>
      </w:r>
      <w:r>
        <w:rPr>
          <w:i/>
        </w:rPr>
        <w:t>Loi n° 09-08 relative à la protection des personnes physiques à l'égard du traitement des données à caractère personnel</w:t>
      </w:r>
      <w:r>
        <w:t>, Bulletin Officiel n°5714, 2009.</w:t>
      </w:r>
    </w:p>
    <w:p>
      <w:pPr>
        <w:pStyle w:val="IText"/>
        <w:ind w:left="340" w:hanging="340"/>
      </w:pPr>
      <w:r>
        <w:t>[6] Commission Nationale de Contrôle de la Protection des Données à Caractère Personnel (CNDP), "Conditions et obligations du responsable de traitement," CNDP, Rabat, Morocco. [Online]. Available: https://www.cndp.ma/</w:t>
      </w:r>
    </w:p>
    <w:p>
      <w:pPr>
        <w:pStyle w:val="IText"/>
        <w:ind w:left="340" w:hanging="340"/>
      </w:pPr>
      <w:r>
        <w:t>[7] European Data Protection Board, "Guidelines 05/2020 on consent under Regulation 2016/679," May 2020.</w:t>
      </w:r>
    </w:p>
    <w:p>
      <w:pPr>
        <w:pStyle w:val="IText"/>
        <w:ind w:left="340" w:hanging="340"/>
      </w:pPr>
      <w:r>
        <w:t xml:space="preserve">[8] Y. Atoum, L. Chen, A. X. Liu, S. D. H. Hsu, and X. Liu, "Automated online exam proctoring," </w:t>
      </w:r>
      <w:r>
        <w:rPr>
          <w:i/>
        </w:rPr>
        <w:t>IEEE Transactions on Multimedia</w:t>
      </w:r>
      <w:r>
        <w:t>, vol. 19, no. 7, pp. 1609–1624, 2017, doi: 10.1109/TMM.2017.2656064.</w:t>
      </w:r>
    </w:p>
    <w:p>
      <w:pPr>
        <w:pStyle w:val="IText"/>
        <w:ind w:left="340" w:hanging="340"/>
      </w:pPr>
      <w:r>
        <w:t xml:space="preserve">[9] A. Nigam, R. Pasricha, T. Singh, and P. Churi, "A systematic review on AI-based proctoring systems: past, present and future," </w:t>
      </w:r>
      <w:r>
        <w:rPr>
          <w:i/>
        </w:rPr>
        <w:t>Education and Information Technologies</w:t>
      </w:r>
      <w:r>
        <w:t>, vol. 26, no. 5, pp. 6421–6445, 2021, doi: 10.1007/s10639-021-10597-x.</w:t>
      </w:r>
    </w:p>
    <w:p>
      <w:pPr>
        <w:pStyle w:val="IText"/>
        <w:ind w:left="340" w:hanging="340"/>
      </w:pPr>
      <w:r>
        <w:t xml:space="preserve">[10] 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IText"/>
        <w:ind w:left="340" w:hanging="340"/>
      </w:pPr>
      <w:r>
        <w:t xml:space="preserve">[11] V. A. S. Vishal, V. M. Vishal, M. Muthuvel, and E. Vijayaram, "AI-based proctoring system for cheating prevention in online exams," </w:t>
      </w:r>
      <w:r>
        <w:rPr>
          <w:i/>
        </w:rPr>
        <w:t>International Research Journal of Education and Technology</w:t>
      </w:r>
      <w:r>
        <w:t>, vol. 7, no. 3, pp. 1636–1645, Mar. 2025.</w:t>
      </w:r>
    </w:p>
    <w:p>
      <w:pPr>
        <w:pStyle w:val="IText"/>
        <w:ind w:left="340" w:hanging="340"/>
      </w:pPr>
      <w:r>
        <w:t xml:space="preserve">[12] 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IText"/>
        <w:ind w:left="340" w:hanging="340"/>
      </w:pPr>
      <w:r>
        <w:t>[13] G. Jocher, A. Chaurasia, and J. Qiu, "Ultralytics YOLOv8," Ultralytics, software documentation, 2023. [Online]. Available: https://docs.ultralytics.com/</w:t>
      </w:r>
    </w:p>
    <w:p>
      <w:pPr>
        <w:pStyle w:val="IText"/>
        <w:ind w:left="340" w:hanging="340"/>
      </w:pPr>
      <w:r>
        <w:t xml:space="preserve">[14] 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IText"/>
        <w:ind w:left="340" w:hanging="340"/>
      </w:pPr>
      <w:r>
        <w:t xml:space="preserve">[15] 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IText"/>
        <w:ind w:left="340" w:hanging="340"/>
      </w:pPr>
      <w:r>
        <w:t xml:space="preserve">[16] A. Radford, J. W. Kim, T. Xu, G. Brockman, C. McLeavey, and I. Sutskever, "Robust speech recognition via large-scale weak supervision," in </w:t>
      </w:r>
      <w:r>
        <w:rPr>
          <w:i/>
        </w:rPr>
        <w:t>Proc. 40th International Conference on Machine Learning (ICML)</w:t>
      </w:r>
      <w:r>
        <w:t>, PMLR vol. 202, 2023, pp. 28492–28518.</w:t>
      </w:r>
    </w:p>
    <w:p>
      <w:pPr>
        <w:pStyle w:val="IText"/>
        <w:ind w:left="340" w:hanging="340"/>
      </w:pPr>
      <w:r>
        <w:t xml:space="preserve">[17] V. Panayotov, G. Chen, D. Povey, and S. Khudanpur, "LibriSpeech: an ASR corpus based on public domain audio books," in </w:t>
      </w:r>
      <w:r>
        <w:rPr>
          <w:i/>
        </w:rPr>
        <w:t>Proc. ICASSP</w:t>
      </w:r>
      <w:r>
        <w:t>, 2015, pp. 5206–5210, doi: 10.1109/ICASSP.2015.7178964.</w:t>
      </w:r>
    </w:p>
    <w:p>
      <w:pPr>
        <w:pStyle w:val="IText"/>
        <w:ind w:left="340" w:hanging="340"/>
      </w:pPr>
      <w:r>
        <w:t xml:space="preserve">[18] 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IText"/>
        <w:ind w:left="340" w:hanging="340"/>
      </w:pPr>
      <w:r>
        <w:t xml:space="preserve">[19] J. S. Chung, A. Nagrani, and A. Zisserman, "VoxCeleb2: deep speaker recognition," in </w:t>
      </w:r>
      <w:r>
        <w:rPr>
          <w:i/>
        </w:rPr>
        <w:t>Proc. Interspeech</w:t>
      </w:r>
      <w:r>
        <w:t>, 2018, pp. 1086–1090.</w:t>
      </w:r>
    </w:p>
    <w:p>
      <w:pPr>
        <w:pStyle w:val="IText"/>
        <w:ind w:left="340" w:hanging="340"/>
      </w:pPr>
      <w:r>
        <w:t xml:space="preserve">[20] J. Jung, H.-S. Heo, Y. Kwon, J. S. Chung, and B.-J. Lee, "Three-class overlapped speech detection using a convolutional recurrent neural network," in </w:t>
      </w:r>
      <w:r>
        <w:rPr>
          <w:i/>
        </w:rPr>
        <w:t>Proc. Interspeech</w:t>
      </w:r>
      <w:r>
        <w:t>, 2021, pp. 3086–3090, doi: 10.21437/Interspeech.2021-149.</w:t>
      </w:r>
    </w:p>
    <w:p>
      <w:pPr>
        <w:pStyle w:val="IText"/>
        <w:ind w:left="340" w:hanging="340"/>
      </w:pPr>
      <w:r>
        <w:t xml:space="preserve">[21] D. Snyder, D. Garcia-Romero, G. Sell, D. Povey, and S. Khudanpur, "X-vectors: robust DNN embeddings for speaker recognition," in </w:t>
      </w:r>
      <w:r>
        <w:rPr>
          <w:i/>
        </w:rPr>
        <w:t>Proc. ICASSP</w:t>
      </w:r>
      <w:r>
        <w:t>, 2018, pp. 5329–5333, doi: 10.1109/ICASSP.2018.8461375.</w:t>
      </w:r>
    </w:p>
    <w:p>
      <w:pPr>
        <w:pStyle w:val="IText"/>
        <w:ind w:left="340" w:hanging="340"/>
      </w:pPr>
      <w:r>
        <w:t xml:space="preserve">[22] 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IText"/>
        <w:ind w:left="340" w:hanging="340"/>
      </w:pPr>
      <w:r>
        <w:t xml:space="preserve">[23] J. S. Chung and A. Zisserman, "Lip reading in the wild," in </w:t>
      </w:r>
      <w:r>
        <w:rPr>
          <w:i/>
        </w:rPr>
        <w:t>Proc. Asian Conference on Computer Vision (ACCV)</w:t>
      </w:r>
      <w:r>
        <w:t>, LNCS vol. 10112, Springer, 2016, pp. 87–103, doi: 10.1007/978-3-319-54184-6_6.</w:t>
      </w:r>
    </w:p>
    <w:p>
      <w:pPr>
        <w:pStyle w:val="IText"/>
        <w:ind w:left="340" w:hanging="340"/>
      </w:pPr>
      <w:r>
        <w:t xml:space="preserve">[24] C. Dwork and A. Roth, "The algorithmic foundations of differential privacy," </w:t>
      </w:r>
      <w:r>
        <w:rPr>
          <w:i/>
        </w:rPr>
        <w:t>Foundations and Trends in Theoretical Computer Science</w:t>
      </w:r>
      <w:r>
        <w:t>, vol. 9, nos. 3–4, pp. 211–407, 2014, doi: 10.1561/0400000042.</w:t>
      </w:r>
    </w:p>
    <w:p>
      <w:pPr>
        <w:pStyle w:val="IText"/>
        <w:ind w:left="340" w:hanging="340"/>
      </w:pPr>
      <w:r>
        <w:t xml:space="preserve">[25] 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IText"/>
        <w:ind w:left="340" w:hanging="340"/>
      </w:pPr>
      <w:r>
        <w:t xml:space="preserve">[26] 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IText"/>
        <w:ind w:left="340" w:hanging="340"/>
      </w:pPr>
      <w:r>
        <w:t xml:space="preserve">[27] 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IText"/>
        <w:ind w:left="340" w:hanging="340"/>
      </w:pPr>
      <w:r>
        <w:t xml:space="preserve">[28] E. Bozkir, O. Günlü, W. Fuhl, R. F. Schaefer, and E. Kasneci, "Differential privacy for eye tracking with temporal correlations," </w:t>
      </w:r>
      <w:r>
        <w:rPr>
          <w:i/>
        </w:rPr>
        <w:t>PLOS ONE</w:t>
      </w:r>
      <w:r>
        <w:t>, vol. 16, no. 8, p. e0255979, 2021, doi: 10.1371/journal.pone.0255979.</w:t>
      </w:r>
    </w:p>
    <w:p>
      <w:pPr>
        <w:pStyle w:val="IText"/>
        <w:ind w:left="340" w:hanging="340"/>
      </w:pPr>
      <w:r>
        <w:t xml:space="preserve">[29] J. Steil, I. Hagestedt, M. X. Huang, and A. Bulling, "Privacy-aware eye tracking using differential privacy," in </w:t>
      </w:r>
      <w:r>
        <w:rPr>
          <w:i/>
        </w:rPr>
        <w:t>Proc. 11th ACM Symposium on Eye Tracking Research and Applications (ETRA)</w:t>
      </w:r>
      <w:r>
        <w:t>, 2019, art. 27, pp. 1–9, doi: 10.1145/3314111.3319915.</w:t>
      </w:r>
    </w:p>
    <w:p>
      <w:pPr>
        <w:pStyle w:val="IText"/>
        <w:ind w:left="340" w:hanging="340"/>
      </w:pPr>
      <w:r>
        <w:t xml:space="preserve">[30] H. Crawford, K. Renaud, and T. Storer, "A framework for continuous, transparent mobile device authentication," </w:t>
      </w:r>
      <w:r>
        <w:rPr>
          <w:i/>
        </w:rPr>
        <w:t>Computers &amp; Security</w:t>
      </w:r>
      <w:r>
        <w:t>, vol. 39, part B, pp. 127–136, 2013, doi: 10.1016/j.cose.2013.05.005.</w:t>
      </w:r>
    </w:p>
    <w:p>
      <w:pPr>
        <w:pStyle w:val="IText"/>
        <w:ind w:left="340" w:hanging="340"/>
      </w:pPr>
      <w:r>
        <w:t xml:space="preserve">[31] N. Sae-Bae, K. Ahmed, K. Isbister, and N. Memon, "Biometric-rich gestures: a novel approach to authentication on multi-touch devices," in </w:t>
      </w:r>
      <w:r>
        <w:rPr>
          <w:i/>
        </w:rPr>
        <w:t>Proc. ACM CHI Conference</w:t>
      </w:r>
      <w:r>
        <w:t>, 2012, pp. 977–986, doi: 10.1145/2207676.2208543.</w:t>
      </w:r>
    </w:p>
    <w:p>
      <w:pPr>
        <w:pStyle w:val="IText"/>
        <w:ind w:left="340" w:hanging="340"/>
      </w:pPr>
      <w:r>
        <w:t>[32] Tribunal administratif de Montreuil, decision no. 2216571 (Univ. Paris 8 / TestWe e-proctoring), 20 September 2023. [Online]. Available: https://www.dalloz.fr/</w:t>
      </w:r>
    </w:p>
    <w:p>
      <w:pPr>
        <w:pStyle w:val="IText"/>
        <w:ind w:left="340" w:hanging="340"/>
      </w:pPr>
      <w:r>
        <w:t xml:space="preserve">[33] J. Redmon, S. Divvala, R. Girshick, and A. Farhadi, "You only look once: unified, real-time object detection," in </w:t>
      </w:r>
      <w:r>
        <w:rPr>
          <w:i/>
        </w:rPr>
        <w:t>Proc. IEEE CVPR</w:t>
      </w:r>
      <w:r>
        <w:t>, 2016, pp. 779–788, doi: 10.1109/CVPR.2016.91.</w:t>
      </w:r>
    </w:p>
    <w:p>
      <w:pPr>
        <w:pStyle w:val="IText"/>
        <w:ind w:left="340" w:hanging="340"/>
      </w:pPr>
      <w:r>
        <w:t xml:space="preserve">[34] J. Redmon and A. Farhadi, "YOLOv3: an incremental improvement," </w:t>
      </w:r>
      <w:r>
        <w:rPr>
          <w:i/>
        </w:rPr>
        <w:t>arXiv preprint</w:t>
      </w:r>
      <w:r>
        <w:t>, arXiv:1804.02767, 2018.</w:t>
      </w:r>
    </w:p>
    <w:p>
      <w:pPr>
        <w:pStyle w:val="IText"/>
        <w:ind w:left="340" w:hanging="340"/>
      </w:pPr>
      <w:r>
        <w:t xml:space="preserve">[35] Y. Kortli, M. Jridi, A. Al Falou, and M. Atri, "Face recognition systems: a survey," </w:t>
      </w:r>
      <w:r>
        <w:rPr>
          <w:i/>
        </w:rPr>
        <w:t>Sensors</w:t>
      </w:r>
      <w:r>
        <w:t>, vol. 20, no. 2, p. 342, 2020, doi: 10.3390/s20020342.</w:t>
      </w:r>
    </w:p>
    <w:p>
      <w:pPr>
        <w:pStyle w:val="IText"/>
        <w:ind w:left="340" w:hanging="340"/>
      </w:pPr>
      <w:r>
        <w:t xml:space="preserve">[36] A. Narayanan and V. Shmatikov, "Robust de-anonymization of large sparse datasets," in </w:t>
      </w:r>
      <w:r>
        <w:rPr>
          <w:i/>
        </w:rPr>
        <w:t>Proc. 2008 IEEE Symposium on Security and Privacy (S&amp;P)</w:t>
      </w:r>
      <w:r>
        <w:t>, 2008, pp. 111–125, doi: 10.1109/SP.2008.33.</w:t>
      </w:r>
    </w:p>
    <w:p>
      <w:pPr>
        <w:pStyle w:val="IText"/>
        <w:ind w:left="340" w:hanging="340"/>
      </w:pPr>
      <w:r>
        <w:t xml:space="preserve">[37] L. Sweeney, "k-Anonymity: a model for protecting privacy," </w:t>
      </w:r>
      <w:r>
        <w:rPr>
          <w:i/>
        </w:rPr>
        <w:t>International Journal of Uncertainty, Fuzziness and Knowledge-Based Systems</w:t>
      </w:r>
      <w:r>
        <w:t>, vol. 10, no. 5, pp. 557–570, 2002, doi: 10.1142/S0218488502001648.</w:t>
      </w:r>
    </w:p>
    <w:p>
      <w:pPr>
        <w:pStyle w:val="IText"/>
        <w:ind w:left="340" w:hanging="340"/>
      </w:pPr>
      <w:r>
        <w:t xml:space="preserve">[38] C. Dwork, F. McSherry, K. Nissim, and A. Smith, "Calibrating noise to sensitivity in private data analysis," in </w:t>
      </w:r>
      <w:r>
        <w:rPr>
          <w:i/>
        </w:rPr>
        <w:t>Proc. Theory of Cryptography Conference (TCC)</w:t>
      </w:r>
      <w:r>
        <w:t>, LNCS vol. 3876, Springer, 2006, pp. 265–284, doi: 10.1007/11681878_14.</w:t>
      </w:r>
    </w:p>
    <w:p>
      <w:pPr>
        <w:pStyle w:val="IText"/>
        <w:ind w:left="340" w:hanging="340"/>
      </w:pPr>
      <w:r>
        <w:t xml:space="preserve">[39] G. Bradski, "The OpenCV library," </w:t>
      </w:r>
      <w:r>
        <w:rPr>
          <w:i/>
        </w:rPr>
        <w:t>Dr. Dobb's Journal of Software Tools</w:t>
      </w:r>
      <w:r>
        <w:t>, vol. 25, no. 11, pp. 120–125, 2000.</w:t>
      </w:r>
    </w:p>
    <w:p>
      <w:pPr>
        <w:pStyle w:val="IText"/>
        <w:ind w:left="340" w:hanging="340"/>
      </w:pPr>
      <w:r>
        <w:t xml:space="preserve">[40] A. Paszke, S. Gross, F. Massa, A. Lerer, J. Bradbury, G. Chanan, et al., "PyTorch: an imperative style, high-performance deep learning library," in </w:t>
      </w:r>
      <w:r>
        <w:rPr>
          <w:i/>
        </w:rPr>
        <w:t>Advances in Neural Information Processing Systems (NeurIPS)</w:t>
      </w:r>
      <w:r>
        <w:t>, 2019, pp. 8024–8035.</w:t>
      </w:r>
    </w:p>
    <w:p>
      <w:pPr>
        <w:pStyle w:val="IText"/>
        <w:ind w:left="340" w:hanging="340"/>
      </w:pPr>
      <w:r>
        <w:t xml:space="preserve">[41] F. Pedregosa, G. Varoquaux, A. Gramfort, V. Michel, B. Thirion, et al., "Scikit-learn: machine learning in Python," </w:t>
      </w:r>
      <w:r>
        <w:rPr>
          <w:i/>
        </w:rPr>
        <w:t>Journal of Machine Learning Research</w:t>
      </w:r>
      <w:r>
        <w:t>, vol. 12, pp. 2825–2830, 2011.</w:t>
      </w:r>
    </w:p>
    <w:p>
      <w:pPr>
        <w:pStyle w:val="IText"/>
        <w:ind w:left="340" w:hanging="340"/>
      </w:pPr>
      <w:r>
        <w:t xml:space="preserve">[42] L. Breiman, "Random forests," </w:t>
      </w:r>
      <w:r>
        <w:rPr>
          <w:i/>
        </w:rPr>
        <w:t>Machine Learning</w:t>
      </w:r>
      <w:r>
        <w:t>, vol. 45, no. 1, pp. 5–32, 2001, doi: 10.1023/A:1010933404324.</w:t>
      </w:r>
    </w:p>
    <w:p>
      <w:pPr>
        <w:pStyle w:val="IText"/>
        <w:ind w:left="340" w:hanging="340"/>
      </w:pPr>
      <w:r>
        <w:t xml:space="preserve">[43] B. Efron and R. Tibshirani, </w:t>
      </w:r>
      <w:r>
        <w:rPr>
          <w:i/>
        </w:rPr>
        <w:t>An Introduction to the Bootstrap</w:t>
      </w:r>
      <w:r>
        <w:t>. New York, NY, USA: Chapman &amp; Hall/CRC, 1993.</w:t>
      </w:r>
    </w:p>
    <w:p>
      <w:pPr>
        <w:pStyle w:val="IText"/>
        <w:ind w:left="340" w:hanging="340"/>
      </w:pPr>
      <w:r>
        <w:t xml:space="preserve">[44] Q. McNemar, "Note on the sampling error of the difference between correlated proportions or percentages," </w:t>
      </w:r>
      <w:r>
        <w:rPr>
          <w:i/>
        </w:rPr>
        <w:t>Psychometrika</w:t>
      </w:r>
      <w:r>
        <w:t>, vol. 12, no. 2, pp. 153–157, 1947, doi: 10.1007/BF02295996.</w:t>
      </w:r>
    </w:p>
    <w:p>
      <w:pPr>
        <w:pStyle w:val="IText"/>
        <w:ind w:left="340" w:hanging="340"/>
      </w:pPr>
      <w:r>
        <w:t xml:space="preserve">[45] T. Fawcett, "An introduction to ROC analysis," </w:t>
      </w:r>
      <w:r>
        <w:rPr>
          <w:i/>
        </w:rPr>
        <w:t>Pattern Recognition Letters</w:t>
      </w:r>
      <w:r>
        <w:t>, vol. 27, no. 8, pp. 861–874, 2006, doi: 10.1016/j.patrec.2005.10.010.</w:t>
      </w:r>
    </w:p>
    <w:p>
      <w:pPr>
        <w:pStyle w:val="IText"/>
        <w:ind w:left="340" w:hanging="340"/>
      </w:pPr>
      <w:r>
        <w:t xml:space="preserve">[46] J. Davis and M. Goadrich, "The relationship between precision-recall and ROC curves," in </w:t>
      </w:r>
      <w:r>
        <w:rPr>
          <w:i/>
        </w:rPr>
        <w:t>Proc. 23rd International Conference on Machine Learning (ICML)</w:t>
      </w:r>
      <w:r>
        <w:t>, 2006, pp. 233–240, doi: 10.1145/1143844.1143874.</w:t>
      </w:r>
    </w:p>
    <w:p>
      <w:pPr>
        <w:pStyle w:val="IText"/>
        <w:ind w:left="340" w:hanging="340"/>
      </w:pPr>
      <w:r>
        <w:t xml:space="preserve">[47] J. Bergstra and Y. Bengio, "Random search for hyper-parameter optimization," </w:t>
      </w:r>
      <w:r>
        <w:rPr>
          <w:i/>
        </w:rPr>
        <w:t>Journal of Machine Learning Research</w:t>
      </w:r>
      <w:r>
        <w:t>, vol. 13, pp. 281–305, 2012.</w:t>
      </w:r>
    </w:p>
    <w:p>
      <w:pPr>
        <w:pStyle w:val="IText"/>
        <w:ind w:left="340" w:hanging="340"/>
      </w:pPr>
      <w:r>
        <w:t>[48] C. Lugaresi et al., "MediaPipe Face Mesh," MediaPipe Legacy Solutions, Google Inc., software documentation, 2023. [Online]. Available: https://google.github.io/mediapipe/solutions/face_mesh</w:t>
      </w:r>
    </w:p>
    <w:p>
      <w:pPr>
        <w:pStyle w:val="IText"/>
        <w:ind w:left="340" w:hanging="340"/>
      </w:pPr>
      <w:r>
        <w:t xml:space="preserve">[49] H. Caesar, J. Uijlings, and V. Ferrari, "COCO-Stuff: thing and stuff classes in context," in </w:t>
      </w:r>
      <w:r>
        <w:rPr>
          <w:i/>
        </w:rPr>
        <w:t>Proc. IEEE CVPR</w:t>
      </w:r>
      <w:r>
        <w:t>, 2018, pp. 1209–1218, doi: 10.1109/CVPR.2018.00132.</w:t>
      </w:r>
    </w:p>
    <w:sectPr w:rsidR="00421166">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406D3" w14:textId="77777777" w:rsidR="00FF08FC" w:rsidRDefault="00FF08FC">
      <w:r>
        <w:separator/>
      </w:r>
    </w:p>
    <w:p w14:paraId="34A6A2F9" w14:textId="77777777" w:rsidR="00FF08FC" w:rsidRDefault="00FF08FC"/>
  </w:endnote>
  <w:endnote w:type="continuationSeparator" w:id="0">
    <w:p w14:paraId="24ACDAF2" w14:textId="77777777" w:rsidR="00FF08FC" w:rsidRDefault="00FF08FC">
      <w:r>
        <w:continuationSeparator/>
      </w:r>
    </w:p>
    <w:p w14:paraId="165832AF" w14:textId="77777777" w:rsidR="00FF08FC" w:rsidRDefault="00FF08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A926D9" w14:textId="77777777" w:rsidR="00FF08FC" w:rsidRDefault="00FF08FC">
      <w:r>
        <w:separator/>
      </w:r>
    </w:p>
    <w:p w14:paraId="78442493" w14:textId="77777777" w:rsidR="00FF08FC" w:rsidRDefault="00FF08FC"/>
  </w:footnote>
  <w:footnote w:type="continuationSeparator" w:id="0">
    <w:p w14:paraId="42F5EFE1" w14:textId="77777777" w:rsidR="00FF08FC" w:rsidRDefault="00FF08FC">
      <w:r>
        <w:continuationSeparator/>
      </w:r>
    </w:p>
    <w:p w14:paraId="700064CD" w14:textId="77777777" w:rsidR="00FF08FC" w:rsidRDefault="00FF08F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5D077" w14:textId="77777777" w:rsidR="009217B0" w:rsidRDefault="009217B0">
    <w:pPr>
      <w:pStyle w:val="Glava"/>
      <w:tabs>
        <w:tab w:val="left" w:pos="567"/>
      </w:tabs>
    </w:pPr>
    <w:r>
      <w:rPr>
        <w:rStyle w:val="tevilkastrani"/>
      </w:rPr>
      <w:fldChar w:fldCharType="begin"/>
    </w:r>
    <w:r>
      <w:rPr>
        <w:rStyle w:val="tevilkastrani"/>
      </w:rPr>
      <w:instrText xml:space="preserve"> PAGE </w:instrText>
    </w:r>
    <w:r>
      <w:rPr>
        <w:rStyle w:val="tevilkastrani"/>
      </w:rPr>
      <w:fldChar w:fldCharType="separate"/>
    </w:r>
    <w:r>
      <w:rPr>
        <w:rStyle w:val="tevilkastrani"/>
        <w:noProof/>
      </w:rPr>
      <w:t>2</w:t>
    </w:r>
    <w:r>
      <w:rPr>
        <w:rStyle w:val="tevilkastrani"/>
      </w:rPr>
      <w:fldChar w:fldCharType="end"/>
    </w:r>
    <w:r>
      <w:rPr>
        <w:rStyle w:val="tevilkastrani"/>
      </w:rPr>
      <w:tab/>
      <w:t>Informatica 23 (1999) xxx–</w:t>
    </w:r>
    <w:proofErr w:type="spellStart"/>
    <w:r>
      <w:rPr>
        <w:rStyle w:val="tevilkastrani"/>
      </w:rPr>
      <w:t>yyy</w:t>
    </w:r>
    <w:proofErr w:type="spellEnd"/>
    <w:r>
      <w:rPr>
        <w:rStyle w:val="tevilkastrani"/>
      </w:rPr>
      <w:tab/>
    </w:r>
    <w:r>
      <w:rPr>
        <w:rStyle w:val="tevilkastrani"/>
      </w:rPr>
      <w:tab/>
    </w:r>
    <w:r>
      <w:rPr>
        <w:rStyle w:val="tevilkastrani"/>
      </w:rPr>
      <w:fldChar w:fldCharType="begin"/>
    </w:r>
    <w:r>
      <w:rPr>
        <w:rStyle w:val="tevilkastrani"/>
      </w:rPr>
      <w:instrText xml:space="preserve"> AUTHOR  \* MERGEFORMAT </w:instrText>
    </w:r>
    <w:r>
      <w:rPr>
        <w:rStyle w:val="tevilkastrani"/>
      </w:rPr>
      <w:fldChar w:fldCharType="separate"/>
    </w:r>
    <w:r w:rsidR="001E6769">
      <w:rPr>
        <w:rStyle w:val="tevilkastrani"/>
        <w:noProof/>
      </w:rPr>
      <w:t>Borut</w:t>
    </w:r>
    <w:r>
      <w:rPr>
        <w:rStyle w:val="tevilkastran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D5496" w14:textId="3987420E" w:rsidR="009217B0" w:rsidRDefault="009217B0" w:rsidP="00572FC4">
    <w:pPr>
      <w:pStyle w:val="Glava"/>
      <w:tabs>
        <w:tab w:val="clear" w:pos="4153"/>
        <w:tab w:val="clear" w:pos="8306"/>
        <w:tab w:val="left" w:pos="0"/>
        <w:tab w:val="right" w:pos="9072"/>
        <w:tab w:val="right" w:pos="9498"/>
      </w:tabs>
    </w:pPr>
    <w:r w:rsidRPr="00572FC4">
      <w:rPr>
        <w:rStyle w:val="tevilkastrani"/>
        <w:sz w:val="18"/>
        <w:szCs w:val="18"/>
      </w:rPr>
      <w:fldChar w:fldCharType="begin"/>
    </w:r>
    <w:r w:rsidRPr="00572FC4">
      <w:rPr>
        <w:rStyle w:val="tevilkastrani"/>
        <w:sz w:val="18"/>
        <w:szCs w:val="18"/>
      </w:rPr>
      <w:instrText xml:space="preserve"> TITLE  \* MERGEFORMAT </w:instrText>
    </w:r>
    <w:r w:rsidRPr="00572FC4">
      <w:rPr>
        <w:rStyle w:val="tevilkastrani"/>
        <w:sz w:val="18"/>
        <w:szCs w:val="18"/>
      </w:rPr>
      <w:fldChar w:fldCharType="separate"/>
    </w:r>
    <w:r w:rsidR="001E6769" w:rsidRPr="00572FC4">
      <w:rPr>
        <w:rStyle w:val="tevilkastrani"/>
        <w:sz w:val="18"/>
        <w:szCs w:val="18"/>
      </w:rPr>
      <w:t>Enter short title in File/Properties/Summary</w:t>
    </w:r>
    <w:r w:rsidRPr="00572FC4">
      <w:rPr>
        <w:rStyle w:val="tevilkastrani"/>
        <w:sz w:val="18"/>
        <w:szCs w:val="18"/>
      </w:rPr>
      <w:fldChar w:fldCharType="end"/>
    </w:r>
    <w:r w:rsidRPr="00572FC4">
      <w:rPr>
        <w:rStyle w:val="tevilkastrani"/>
        <w:sz w:val="18"/>
        <w:szCs w:val="18"/>
      </w:rPr>
      <w:tab/>
      <w:t xml:space="preserve">Informatica </w:t>
    </w:r>
    <w:r w:rsidR="00BE0144">
      <w:rPr>
        <w:rStyle w:val="tevilkastrani"/>
        <w:b/>
        <w:sz w:val="18"/>
        <w:szCs w:val="18"/>
      </w:rPr>
      <w:fldChar w:fldCharType="begin"/>
    </w:r>
    <w:r w:rsidR="00BE0144">
      <w:rPr>
        <w:rStyle w:val="tevilkastrani"/>
        <w:b/>
        <w:sz w:val="18"/>
        <w:szCs w:val="18"/>
      </w:rPr>
      <w:instrText xml:space="preserve"> DOCPROPERTY  Letnik  \* MERGEFORMAT </w:instrText>
    </w:r>
    <w:r w:rsidR="00BE0144">
      <w:rPr>
        <w:rStyle w:val="tevilkastrani"/>
        <w:b/>
        <w:sz w:val="18"/>
        <w:szCs w:val="18"/>
      </w:rPr>
      <w:fldChar w:fldCharType="separate"/>
    </w:r>
    <w:r w:rsidR="00BE0144">
      <w:rPr>
        <w:rStyle w:val="tevilkastrani"/>
        <w:b/>
        <w:sz w:val="18"/>
        <w:szCs w:val="18"/>
      </w:rPr>
      <w:t>46</w:t>
    </w:r>
    <w:r w:rsidR="00BE0144">
      <w:rPr>
        <w:rStyle w:val="tevilkastrani"/>
        <w:b/>
        <w:sz w:val="18"/>
        <w:szCs w:val="18"/>
      </w:rPr>
      <w:fldChar w:fldCharType="end"/>
    </w:r>
    <w:r w:rsidRPr="00572FC4">
      <w:rPr>
        <w:rStyle w:val="tevilkastrani"/>
        <w:sz w:val="18"/>
        <w:szCs w:val="18"/>
      </w:rPr>
      <w:t xml:space="preserve"> (</w:t>
    </w:r>
    <w:r w:rsidR="00BE0144">
      <w:rPr>
        <w:rStyle w:val="tevilkastrani"/>
        <w:sz w:val="18"/>
        <w:szCs w:val="18"/>
      </w:rPr>
      <w:fldChar w:fldCharType="begin"/>
    </w:r>
    <w:r w:rsidR="00BE0144">
      <w:rPr>
        <w:rStyle w:val="tevilkastrani"/>
        <w:sz w:val="18"/>
        <w:szCs w:val="18"/>
      </w:rPr>
      <w:instrText xml:space="preserve"> DOCPROPERTY  Leto  \* MERGEFORMAT </w:instrText>
    </w:r>
    <w:r w:rsidR="00BE0144">
      <w:rPr>
        <w:rStyle w:val="tevilkastrani"/>
        <w:sz w:val="18"/>
        <w:szCs w:val="18"/>
      </w:rPr>
      <w:fldChar w:fldCharType="separate"/>
    </w:r>
    <w:r w:rsidR="00BE0144">
      <w:rPr>
        <w:rStyle w:val="tevilkastrani"/>
        <w:sz w:val="18"/>
        <w:szCs w:val="18"/>
      </w:rPr>
      <w:t>2022</w:t>
    </w:r>
    <w:r w:rsidR="00BE0144">
      <w:rPr>
        <w:rStyle w:val="tevilkastrani"/>
        <w:sz w:val="18"/>
        <w:szCs w:val="18"/>
      </w:rPr>
      <w:fldChar w:fldCharType="end"/>
    </w:r>
    <w:r w:rsidRPr="00572FC4">
      <w:rPr>
        <w:rStyle w:val="tevilkastrani"/>
        <w:sz w:val="18"/>
        <w:szCs w:val="18"/>
      </w:rPr>
      <w:t xml:space="preserve">) </w:t>
    </w:r>
    <w:r w:rsidR="00572FC4">
      <w:rPr>
        <w:rStyle w:val="tevilkastrani"/>
        <w:sz w:val="18"/>
        <w:szCs w:val="18"/>
      </w:rPr>
      <w:fldChar w:fldCharType="begin"/>
    </w:r>
    <w:r w:rsidR="00572FC4">
      <w:rPr>
        <w:rStyle w:val="tevilkastrani"/>
        <w:sz w:val="18"/>
        <w:szCs w:val="18"/>
      </w:rPr>
      <w:instrText xml:space="preserve"> DOCPROPERTY  pageF  \* MERGEFORMAT </w:instrText>
    </w:r>
    <w:r w:rsidR="00572FC4">
      <w:rPr>
        <w:rStyle w:val="tevilkastrani"/>
        <w:sz w:val="18"/>
        <w:szCs w:val="18"/>
      </w:rPr>
      <w:fldChar w:fldCharType="separate"/>
    </w:r>
    <w:r w:rsidR="00572FC4">
      <w:rPr>
        <w:rStyle w:val="tevilkastrani"/>
        <w:sz w:val="18"/>
        <w:szCs w:val="18"/>
      </w:rPr>
      <w:t>501</w:t>
    </w:r>
    <w:r w:rsidR="00572FC4">
      <w:rPr>
        <w:rStyle w:val="tevilkastrani"/>
        <w:sz w:val="18"/>
        <w:szCs w:val="18"/>
      </w:rPr>
      <w:fldChar w:fldCharType="end"/>
    </w:r>
    <w:r w:rsidRPr="00572FC4">
      <w:rPr>
        <w:rStyle w:val="tevilkastrani"/>
        <w:sz w:val="18"/>
        <w:szCs w:val="18"/>
      </w:rPr>
      <w:t>–</w:t>
    </w:r>
    <w:r w:rsidR="00572FC4">
      <w:rPr>
        <w:rStyle w:val="tevilkastrani"/>
        <w:sz w:val="18"/>
        <w:szCs w:val="18"/>
      </w:rPr>
      <w:fldChar w:fldCharType="begin"/>
    </w:r>
    <w:r w:rsidR="00572FC4">
      <w:rPr>
        <w:rStyle w:val="tevilkastrani"/>
        <w:sz w:val="18"/>
        <w:szCs w:val="18"/>
      </w:rPr>
      <w:instrText xml:space="preserve"> DOCPROPERTY  pageL  \* MERGEFORMAT </w:instrText>
    </w:r>
    <w:r w:rsidR="00572FC4">
      <w:rPr>
        <w:rStyle w:val="tevilkastrani"/>
        <w:sz w:val="18"/>
        <w:szCs w:val="18"/>
      </w:rPr>
      <w:fldChar w:fldCharType="separate"/>
    </w:r>
    <w:r w:rsidR="00572FC4">
      <w:rPr>
        <w:rStyle w:val="tevilkastrani"/>
        <w:sz w:val="18"/>
        <w:szCs w:val="18"/>
      </w:rPr>
      <w:t>505</w:t>
    </w:r>
    <w:r w:rsidR="00572FC4">
      <w:rPr>
        <w:rStyle w:val="tevilkastrani"/>
        <w:sz w:val="18"/>
        <w:szCs w:val="18"/>
      </w:rPr>
      <w:fldChar w:fldCharType="end"/>
    </w:r>
    <w:r w:rsidR="00572FC4">
      <w:rPr>
        <w:rStyle w:val="tevilkastrani"/>
      </w:rPr>
      <w:tab/>
    </w:r>
    <w:r w:rsidR="00572FC4" w:rsidRPr="00572FC4">
      <w:rPr>
        <w:rStyle w:val="tevilkastrani"/>
        <w:b/>
        <w:bCs/>
      </w:rPr>
      <w:fldChar w:fldCharType="begin"/>
    </w:r>
    <w:r w:rsidR="00572FC4" w:rsidRPr="00572FC4">
      <w:rPr>
        <w:rStyle w:val="tevilkastrani"/>
        <w:b/>
        <w:bCs/>
      </w:rPr>
      <w:instrText xml:space="preserve"> PAGE   \* MERGEFORMAT </w:instrText>
    </w:r>
    <w:r w:rsidR="00572FC4" w:rsidRPr="00572FC4">
      <w:rPr>
        <w:rStyle w:val="tevilkastrani"/>
        <w:b/>
        <w:bCs/>
      </w:rPr>
      <w:fldChar w:fldCharType="separate"/>
    </w:r>
    <w:r w:rsidR="00572FC4" w:rsidRPr="00572FC4">
      <w:rPr>
        <w:rStyle w:val="tevilkastrani"/>
        <w:b/>
        <w:bCs/>
        <w:noProof/>
      </w:rPr>
      <w:t>502</w:t>
    </w:r>
    <w:r w:rsidR="00572FC4" w:rsidRPr="00572FC4">
      <w:rPr>
        <w:rStyle w:val="tevilkastrani"/>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A43A" w14:textId="19A80C61" w:rsidR="009217B0" w:rsidRDefault="00875C0A" w:rsidP="005636B8">
    <w:pPr>
      <w:pStyle w:val="Glava"/>
      <w:tabs>
        <w:tab w:val="clear" w:pos="4153"/>
        <w:tab w:val="clear" w:pos="8306"/>
        <w:tab w:val="right" w:pos="9072"/>
        <w:tab w:val="right" w:pos="9498"/>
      </w:tabs>
      <w:ind w:firstLine="0"/>
      <w:rPr>
        <w:sz w:val="18"/>
        <w:lang w:val="sl-SI"/>
      </w:rPr>
    </w:pPr>
    <w:r w:rsidRPr="009B4332">
      <w:rPr>
        <w:sz w:val="18"/>
        <w:szCs w:val="18"/>
        <w:lang w:val="sl-SI"/>
      </w:rPr>
      <w:t>https://doi.org/10.31449/inf.v</w:t>
    </w:r>
    <w:r w:rsidRPr="009B4332">
      <w:rPr>
        <w:sz w:val="18"/>
        <w:szCs w:val="18"/>
        <w:lang w:val="sl-SI"/>
      </w:rPr>
      <w:fldChar w:fldCharType="begin"/>
    </w:r>
    <w:r w:rsidRPr="009B4332">
      <w:rPr>
        <w:sz w:val="18"/>
        <w:szCs w:val="18"/>
        <w:lang w:val="sl-SI"/>
      </w:rPr>
      <w:instrText xml:space="preserve"> DOCPROPERTY  Letnik  \* MERGEFORMAT </w:instrText>
    </w:r>
    <w:r w:rsidRPr="009B4332">
      <w:rPr>
        <w:sz w:val="18"/>
        <w:szCs w:val="18"/>
        <w:lang w:val="sl-SI"/>
      </w:rPr>
      <w:fldChar w:fldCharType="separate"/>
    </w:r>
    <w:r w:rsidR="00190066">
      <w:rPr>
        <w:sz w:val="18"/>
        <w:szCs w:val="18"/>
        <w:lang w:val="sl-SI"/>
      </w:rPr>
      <w:t>46</w:t>
    </w:r>
    <w:r w:rsidRPr="009B4332">
      <w:rPr>
        <w:sz w:val="18"/>
        <w:szCs w:val="18"/>
        <w:lang w:val="sl-SI"/>
      </w:rPr>
      <w:fldChar w:fldCharType="end"/>
    </w:r>
    <w:r w:rsidRPr="009B4332">
      <w:rPr>
        <w:sz w:val="18"/>
        <w:szCs w:val="18"/>
        <w:lang w:val="sl-SI"/>
      </w:rPr>
      <w:t>i</w:t>
    </w:r>
    <w:r w:rsidRPr="009B4332">
      <w:rPr>
        <w:sz w:val="18"/>
        <w:szCs w:val="18"/>
        <w:lang w:val="sl-SI"/>
      </w:rPr>
      <w:fldChar w:fldCharType="begin"/>
    </w:r>
    <w:r w:rsidRPr="009B4332">
      <w:rPr>
        <w:sz w:val="18"/>
        <w:szCs w:val="18"/>
        <w:lang w:val="sl-SI"/>
      </w:rPr>
      <w:instrText xml:space="preserve"> DOCPROPERTY  Issue  \* MERGEFORMAT </w:instrText>
    </w:r>
    <w:r w:rsidRPr="009B4332">
      <w:rPr>
        <w:sz w:val="18"/>
        <w:szCs w:val="18"/>
        <w:lang w:val="sl-SI"/>
      </w:rPr>
      <w:fldChar w:fldCharType="separate"/>
    </w:r>
    <w:r w:rsidR="001E6769" w:rsidRPr="009B4332">
      <w:rPr>
        <w:sz w:val="18"/>
        <w:szCs w:val="18"/>
        <w:lang w:val="sl-SI"/>
      </w:rPr>
      <w:t>x</w:t>
    </w:r>
    <w:r w:rsidRPr="009B4332">
      <w:rPr>
        <w:sz w:val="18"/>
        <w:szCs w:val="18"/>
        <w:lang w:val="sl-SI"/>
      </w:rPr>
      <w:fldChar w:fldCharType="end"/>
    </w:r>
    <w:r w:rsidRPr="009B4332">
      <w:rPr>
        <w:sz w:val="18"/>
        <w:szCs w:val="18"/>
        <w:lang w:val="sl-SI"/>
      </w:rPr>
      <w:t>.</w:t>
    </w:r>
    <w:r w:rsidRPr="009B4332">
      <w:rPr>
        <w:sz w:val="18"/>
        <w:szCs w:val="18"/>
        <w:lang w:val="sl-SI"/>
      </w:rPr>
      <w:fldChar w:fldCharType="begin"/>
    </w:r>
    <w:r w:rsidRPr="009B4332">
      <w:rPr>
        <w:sz w:val="18"/>
        <w:szCs w:val="18"/>
        <w:lang w:val="sl-SI"/>
      </w:rPr>
      <w:instrText xml:space="preserve"> DOCPROPERTY  InfCode  \* MERGEFORMAT </w:instrText>
    </w:r>
    <w:r w:rsidRPr="009B4332">
      <w:rPr>
        <w:sz w:val="18"/>
        <w:szCs w:val="18"/>
        <w:lang w:val="sl-SI"/>
      </w:rPr>
      <w:fldChar w:fldCharType="separate"/>
    </w:r>
    <w:r w:rsidR="001E6769" w:rsidRPr="009B4332">
      <w:rPr>
        <w:sz w:val="18"/>
        <w:szCs w:val="18"/>
        <w:lang w:val="sl-SI"/>
      </w:rPr>
      <w:t>xxxx</w:t>
    </w:r>
    <w:r w:rsidRPr="009B4332">
      <w:rPr>
        <w:sz w:val="18"/>
        <w:szCs w:val="18"/>
        <w:lang w:val="sl-SI"/>
      </w:rPr>
      <w:fldChar w:fldCharType="end"/>
    </w:r>
    <w:r w:rsidR="009217B0" w:rsidRPr="009B4332">
      <w:rPr>
        <w:sz w:val="18"/>
        <w:szCs w:val="18"/>
        <w:lang w:val="sl-SI"/>
      </w:rPr>
      <w:tab/>
    </w:r>
    <w:proofErr w:type="spellStart"/>
    <w:r w:rsidR="009217B0" w:rsidRPr="009B4332">
      <w:rPr>
        <w:sz w:val="18"/>
        <w:szCs w:val="18"/>
        <w:lang w:val="sl-SI"/>
      </w:rPr>
      <w:t>Informatica</w:t>
    </w:r>
    <w:proofErr w:type="spellEnd"/>
    <w:r w:rsidR="009217B0" w:rsidRPr="009B4332">
      <w:rPr>
        <w:sz w:val="18"/>
        <w:szCs w:val="18"/>
        <w:lang w:val="sl-SI"/>
      </w:rPr>
      <w:t xml:space="preserve"> </w:t>
    </w:r>
    <w:r w:rsidR="009217B0" w:rsidRPr="009B4332">
      <w:rPr>
        <w:b/>
        <w:sz w:val="18"/>
        <w:szCs w:val="18"/>
        <w:lang w:val="sl-SI"/>
      </w:rPr>
      <w:fldChar w:fldCharType="begin"/>
    </w:r>
    <w:r w:rsidR="009217B0" w:rsidRPr="009B4332">
      <w:rPr>
        <w:b/>
        <w:sz w:val="18"/>
        <w:szCs w:val="18"/>
        <w:lang w:val="sl-SI"/>
      </w:rPr>
      <w:instrText xml:space="preserve"> DOCPROPERTY  Letnik  \* MERGEFORMAT </w:instrText>
    </w:r>
    <w:r w:rsidR="009217B0" w:rsidRPr="009B4332">
      <w:rPr>
        <w:b/>
        <w:sz w:val="18"/>
        <w:szCs w:val="18"/>
        <w:lang w:val="sl-SI"/>
      </w:rPr>
      <w:fldChar w:fldCharType="separate"/>
    </w:r>
    <w:r w:rsidR="00190066">
      <w:rPr>
        <w:b/>
        <w:sz w:val="18"/>
        <w:szCs w:val="18"/>
        <w:lang w:val="sl-SI"/>
      </w:rPr>
      <w:t>46</w:t>
    </w:r>
    <w:r w:rsidR="009217B0" w:rsidRPr="009B4332">
      <w:rPr>
        <w:b/>
        <w:sz w:val="18"/>
        <w:szCs w:val="18"/>
        <w:lang w:val="sl-SI"/>
      </w:rPr>
      <w:fldChar w:fldCharType="end"/>
    </w:r>
    <w:r w:rsidR="009217B0" w:rsidRPr="009B4332">
      <w:rPr>
        <w:sz w:val="18"/>
        <w:szCs w:val="18"/>
        <w:lang w:val="sl-SI"/>
      </w:rPr>
      <w:t xml:space="preserve"> (</w:t>
    </w:r>
    <w:r w:rsidR="009217B0" w:rsidRPr="009B4332">
      <w:rPr>
        <w:sz w:val="18"/>
        <w:szCs w:val="18"/>
        <w:lang w:val="sl-SI"/>
      </w:rPr>
      <w:fldChar w:fldCharType="begin"/>
    </w:r>
    <w:r w:rsidR="009217B0" w:rsidRPr="009B4332">
      <w:rPr>
        <w:sz w:val="18"/>
        <w:szCs w:val="18"/>
        <w:lang w:val="sl-SI"/>
      </w:rPr>
      <w:instrText xml:space="preserve"> DOCPROPERTY  Leto  \* MERGEFORMAT </w:instrText>
    </w:r>
    <w:r w:rsidR="009217B0" w:rsidRPr="009B4332">
      <w:rPr>
        <w:sz w:val="18"/>
        <w:szCs w:val="18"/>
        <w:lang w:val="sl-SI"/>
      </w:rPr>
      <w:fldChar w:fldCharType="separate"/>
    </w:r>
    <w:r w:rsidR="00190066">
      <w:rPr>
        <w:sz w:val="18"/>
        <w:szCs w:val="18"/>
        <w:lang w:val="sl-SI"/>
      </w:rPr>
      <w:t>2022</w:t>
    </w:r>
    <w:r w:rsidR="009217B0" w:rsidRPr="009B4332">
      <w:rPr>
        <w:sz w:val="18"/>
        <w:szCs w:val="18"/>
        <w:lang w:val="sl-SI"/>
      </w:rPr>
      <w:fldChar w:fldCharType="end"/>
    </w:r>
    <w:r w:rsidR="009217B0" w:rsidRPr="009B4332">
      <w:rPr>
        <w:sz w:val="18"/>
        <w:szCs w:val="18"/>
        <w:lang w:val="sl-SI"/>
      </w:rPr>
      <w:t xml:space="preserve">) </w:t>
    </w:r>
    <w:r w:rsidR="009217B0" w:rsidRPr="009B4332">
      <w:rPr>
        <w:rStyle w:val="tevilkastrani"/>
        <w:bCs/>
        <w:sz w:val="18"/>
        <w:szCs w:val="18"/>
      </w:rPr>
      <w:fldChar w:fldCharType="begin"/>
    </w:r>
    <w:r w:rsidR="009217B0" w:rsidRPr="009B4332">
      <w:rPr>
        <w:rStyle w:val="tevilkastrani"/>
        <w:bCs/>
        <w:sz w:val="18"/>
        <w:szCs w:val="18"/>
      </w:rPr>
      <w:instrText xml:space="preserve"> PAGE </w:instrText>
    </w:r>
    <w:r w:rsidR="009217B0" w:rsidRPr="009B4332">
      <w:rPr>
        <w:rStyle w:val="tevilkastrani"/>
        <w:bCs/>
        <w:sz w:val="18"/>
        <w:szCs w:val="18"/>
      </w:rPr>
      <w:fldChar w:fldCharType="separate"/>
    </w:r>
    <w:r w:rsidR="00934CD3" w:rsidRPr="009B4332">
      <w:rPr>
        <w:rStyle w:val="tevilkastrani"/>
        <w:bCs/>
        <w:noProof/>
        <w:sz w:val="18"/>
        <w:szCs w:val="18"/>
      </w:rPr>
      <w:t>501</w:t>
    </w:r>
    <w:r w:rsidR="009217B0" w:rsidRPr="009B4332">
      <w:rPr>
        <w:rStyle w:val="tevilkastrani"/>
        <w:bCs/>
        <w:sz w:val="18"/>
        <w:szCs w:val="18"/>
      </w:rPr>
      <w:fldChar w:fldCharType="end"/>
    </w:r>
    <w:r w:rsidR="009217B0" w:rsidRPr="009B4332">
      <w:rPr>
        <w:sz w:val="18"/>
        <w:szCs w:val="18"/>
        <w:lang w:val="sl-SI"/>
      </w:rPr>
      <w:t>–</w:t>
    </w:r>
    <w:r w:rsidR="008F79DE" w:rsidRPr="009B4332">
      <w:rPr>
        <w:sz w:val="18"/>
        <w:szCs w:val="18"/>
        <w:lang w:val="sl-SI"/>
      </w:rPr>
      <w:fldChar w:fldCharType="begin"/>
    </w:r>
    <w:r w:rsidR="008F79DE" w:rsidRPr="009B4332">
      <w:rPr>
        <w:sz w:val="18"/>
        <w:szCs w:val="18"/>
        <w:lang w:val="sl-SI"/>
      </w:rPr>
      <w:instrText xml:space="preserve"> DOCPROPERTY  pageL  \* MERGEFORMAT </w:instrText>
    </w:r>
    <w:r w:rsidR="008F79DE" w:rsidRPr="009B4332">
      <w:rPr>
        <w:sz w:val="18"/>
        <w:szCs w:val="18"/>
        <w:lang w:val="sl-SI"/>
      </w:rPr>
      <w:fldChar w:fldCharType="separate"/>
    </w:r>
    <w:r w:rsidR="00190066">
      <w:rPr>
        <w:sz w:val="18"/>
        <w:szCs w:val="18"/>
        <w:lang w:val="sl-SI"/>
      </w:rPr>
      <w:t>505</w:t>
    </w:r>
    <w:r w:rsidR="008F79DE" w:rsidRPr="009B4332">
      <w:rPr>
        <w:sz w:val="18"/>
        <w:szCs w:val="18"/>
        <w:lang w:val="sl-SI"/>
      </w:rPr>
      <w:fldChar w:fldCharType="end"/>
    </w:r>
    <w:r w:rsidR="009217B0">
      <w:rPr>
        <w:sz w:val="18"/>
        <w:lang w:val="sl-SI"/>
      </w:rPr>
      <w:tab/>
    </w:r>
    <w:r w:rsidR="009217B0">
      <w:rPr>
        <w:rStyle w:val="tevilkastrani"/>
        <w:b/>
      </w:rPr>
      <w:fldChar w:fldCharType="begin"/>
    </w:r>
    <w:r w:rsidR="009217B0">
      <w:rPr>
        <w:rStyle w:val="tevilkastrani"/>
        <w:b/>
      </w:rPr>
      <w:instrText xml:space="preserve"> PAGE </w:instrText>
    </w:r>
    <w:r w:rsidR="009217B0">
      <w:rPr>
        <w:rStyle w:val="tevilkastrani"/>
        <w:b/>
      </w:rPr>
      <w:fldChar w:fldCharType="separate"/>
    </w:r>
    <w:r w:rsidR="00934CD3">
      <w:rPr>
        <w:rStyle w:val="tevilkastrani"/>
        <w:b/>
        <w:noProof/>
      </w:rPr>
      <w:t>501</w:t>
    </w:r>
    <w:r w:rsidR="009217B0">
      <w:rPr>
        <w:rStyle w:val="tevilkastrani"/>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1C88D" w14:textId="55E4F231" w:rsidR="0029783C" w:rsidRDefault="009217B0" w:rsidP="00014998">
    <w:pPr>
      <w:pStyle w:val="Glava"/>
      <w:tabs>
        <w:tab w:val="clear" w:pos="4153"/>
        <w:tab w:val="clear" w:pos="8306"/>
        <w:tab w:val="left" w:pos="567"/>
        <w:tab w:val="right" w:pos="9498"/>
      </w:tabs>
      <w:ind w:firstLine="0"/>
    </w:pPr>
    <w:r>
      <w:rPr>
        <w:rStyle w:val="tevilkastrani"/>
        <w:b/>
      </w:rPr>
      <w:fldChar w:fldCharType="begin"/>
    </w:r>
    <w:r>
      <w:rPr>
        <w:rStyle w:val="tevilkastrani"/>
        <w:b/>
      </w:rPr>
      <w:instrText xml:space="preserve"> PAGE </w:instrText>
    </w:r>
    <w:r>
      <w:rPr>
        <w:rStyle w:val="tevilkastrani"/>
        <w:b/>
      </w:rPr>
      <w:fldChar w:fldCharType="separate"/>
    </w:r>
    <w:r w:rsidR="00934CD3">
      <w:rPr>
        <w:rStyle w:val="tevilkastrani"/>
        <w:b/>
        <w:noProof/>
      </w:rPr>
      <w:t>502</w:t>
    </w:r>
    <w:r>
      <w:rPr>
        <w:rStyle w:val="tevilkastrani"/>
        <w:b/>
      </w:rPr>
      <w:fldChar w:fldCharType="end"/>
    </w:r>
    <w:r>
      <w:rPr>
        <w:rStyle w:val="tevilkastrani"/>
        <w:sz w:val="18"/>
      </w:rPr>
      <w:tab/>
      <w:t xml:space="preserve">Informatica </w:t>
    </w:r>
    <w:r>
      <w:rPr>
        <w:rStyle w:val="tevilkastrani"/>
        <w:b/>
        <w:sz w:val="18"/>
      </w:rPr>
      <w:fldChar w:fldCharType="begin"/>
    </w:r>
    <w:r>
      <w:rPr>
        <w:rStyle w:val="tevilkastrani"/>
        <w:b/>
        <w:sz w:val="18"/>
      </w:rPr>
      <w:instrText xml:space="preserve"> DOCPROPERTY  Letnik  \* MERGEFORMAT </w:instrText>
    </w:r>
    <w:r>
      <w:rPr>
        <w:rStyle w:val="tevilkastrani"/>
        <w:b/>
        <w:sz w:val="18"/>
      </w:rPr>
      <w:fldChar w:fldCharType="separate"/>
    </w:r>
    <w:r w:rsidR="00CF04E6">
      <w:rPr>
        <w:rStyle w:val="tevilkastrani"/>
        <w:b/>
        <w:sz w:val="18"/>
      </w:rPr>
      <w:t>46</w:t>
    </w:r>
    <w:r>
      <w:rPr>
        <w:rStyle w:val="tevilkastrani"/>
        <w:b/>
        <w:sz w:val="18"/>
      </w:rPr>
      <w:fldChar w:fldCharType="end"/>
    </w:r>
    <w:r>
      <w:rPr>
        <w:rStyle w:val="tevilkastrani"/>
        <w:sz w:val="18"/>
      </w:rPr>
      <w:t xml:space="preserve"> (</w:t>
    </w:r>
    <w:r>
      <w:rPr>
        <w:rStyle w:val="tevilkastrani"/>
        <w:sz w:val="18"/>
      </w:rPr>
      <w:fldChar w:fldCharType="begin"/>
    </w:r>
    <w:r>
      <w:rPr>
        <w:rStyle w:val="tevilkastrani"/>
        <w:sz w:val="18"/>
      </w:rPr>
      <w:instrText xml:space="preserve"> DOCPROPERTY  Leto  \* MERGEFORMAT </w:instrText>
    </w:r>
    <w:r>
      <w:rPr>
        <w:rStyle w:val="tevilkastrani"/>
        <w:sz w:val="18"/>
      </w:rPr>
      <w:fldChar w:fldCharType="separate"/>
    </w:r>
    <w:r w:rsidR="00DB09DB">
      <w:rPr>
        <w:rStyle w:val="tevilkastrani"/>
        <w:sz w:val="18"/>
      </w:rPr>
      <w:t>2021</w:t>
    </w:r>
    <w:r>
      <w:rPr>
        <w:rStyle w:val="tevilkastrani"/>
        <w:sz w:val="18"/>
      </w:rPr>
      <w:fldChar w:fldCharType="end"/>
    </w:r>
    <w:r>
      <w:rPr>
        <w:rStyle w:val="tevilkastrani"/>
        <w:sz w:val="18"/>
      </w:rPr>
      <w:t xml:space="preserve">) </w:t>
    </w:r>
    <w:r w:rsidR="008F79DE">
      <w:rPr>
        <w:rStyle w:val="tevilkastrani"/>
        <w:sz w:val="18"/>
      </w:rPr>
      <w:fldChar w:fldCharType="begin"/>
    </w:r>
    <w:r w:rsidR="008F79DE">
      <w:rPr>
        <w:rStyle w:val="tevilkastrani"/>
        <w:sz w:val="18"/>
      </w:rPr>
      <w:instrText xml:space="preserve"> DOCPROPERTY  pageF  \* MERGEFORMAT </w:instrText>
    </w:r>
    <w:r w:rsidR="008F79DE">
      <w:rPr>
        <w:rStyle w:val="tevilkastrani"/>
        <w:sz w:val="18"/>
      </w:rPr>
      <w:fldChar w:fldCharType="separate"/>
    </w:r>
    <w:r w:rsidR="001E6769">
      <w:rPr>
        <w:rStyle w:val="tevilkastrani"/>
        <w:sz w:val="18"/>
      </w:rPr>
      <w:t>501</w:t>
    </w:r>
    <w:r w:rsidR="008F79DE">
      <w:rPr>
        <w:rStyle w:val="tevilkastrani"/>
        <w:sz w:val="18"/>
      </w:rPr>
      <w:fldChar w:fldCharType="end"/>
    </w:r>
    <w:r>
      <w:rPr>
        <w:rStyle w:val="tevilkastrani"/>
        <w:sz w:val="18"/>
      </w:rPr>
      <w:t>–</w:t>
    </w:r>
    <w:r w:rsidR="008F79DE">
      <w:rPr>
        <w:rStyle w:val="tevilkastrani"/>
        <w:sz w:val="18"/>
      </w:rPr>
      <w:fldChar w:fldCharType="begin"/>
    </w:r>
    <w:r w:rsidR="008F79DE">
      <w:rPr>
        <w:rStyle w:val="tevilkastrani"/>
        <w:sz w:val="18"/>
      </w:rPr>
      <w:instrText xml:space="preserve"> DOCPROPERTY  pageL  \* MERGEFORMAT </w:instrText>
    </w:r>
    <w:r w:rsidR="008F79DE">
      <w:rPr>
        <w:rStyle w:val="tevilkastrani"/>
        <w:sz w:val="18"/>
      </w:rPr>
      <w:fldChar w:fldCharType="separate"/>
    </w:r>
    <w:r w:rsidR="001E6769">
      <w:rPr>
        <w:rStyle w:val="tevilkastrani"/>
        <w:sz w:val="18"/>
      </w:rPr>
      <w:t>505</w:t>
    </w:r>
    <w:r w:rsidR="008F79DE">
      <w:rPr>
        <w:rStyle w:val="tevilkastrani"/>
        <w:sz w:val="18"/>
      </w:rPr>
      <w:fldChar w:fldCharType="end"/>
    </w:r>
    <w:r>
      <w:rPr>
        <w:rStyle w:val="tevilkastrani"/>
        <w:sz w:val="18"/>
      </w:rPr>
      <w:tab/>
    </w:r>
    <w:r>
      <w:rPr>
        <w:rStyle w:val="tevilkastrani"/>
        <w:sz w:val="18"/>
      </w:rPr>
      <w:fldChar w:fldCharType="begin"/>
    </w:r>
    <w:r>
      <w:rPr>
        <w:rStyle w:val="tevilkastrani"/>
        <w:sz w:val="18"/>
      </w:rPr>
      <w:instrText xml:space="preserve"> AUTHOR   \* MERGEFORMAT </w:instrText>
    </w:r>
    <w:r>
      <w:rPr>
        <w:rStyle w:val="tevilkastrani"/>
        <w:sz w:val="18"/>
      </w:rPr>
      <w:fldChar w:fldCharType="separate"/>
    </w:r>
    <w:r w:rsidR="00421166">
      <w:rPr>
        <w:rStyle w:val="tevilkastrani"/>
        <w:noProof/>
        <w:sz w:val="18"/>
      </w:rPr>
      <w:t>Borut</w:t>
    </w:r>
    <w:r>
      <w:rPr>
        <w:rStyle w:val="tevilkastrani"/>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91389786"/>
    <w:lvl w:ilvl="0">
      <w:start w:val="1"/>
      <w:numFmt w:val="decimal"/>
      <w:lvlText w:val="[%1]"/>
      <w:lvlJc w:val="left"/>
      <w:pPr>
        <w:ind w:left="360" w:hanging="360"/>
      </w:pPr>
      <w:rPr>
        <w:rFonts w:hint="default"/>
      </w:r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C1E85CA6"/>
    <w:lvl w:ilvl="0">
      <w:start w:val="1"/>
      <w:numFmt w:val="decimal"/>
      <w:pStyle w:val="Naslov1"/>
      <w:lvlText w:val="%1"/>
      <w:lvlJc w:val="left"/>
      <w:pPr>
        <w:tabs>
          <w:tab w:val="num" w:pos="432"/>
        </w:tabs>
        <w:ind w:left="432" w:hanging="432"/>
      </w:pPr>
    </w:lvl>
    <w:lvl w:ilvl="1">
      <w:start w:val="1"/>
      <w:numFmt w:val="decimal"/>
      <w:pStyle w:val="Naslov2"/>
      <w:lvlText w:val="%1.%2"/>
      <w:lvlJc w:val="left"/>
      <w:pPr>
        <w:tabs>
          <w:tab w:val="num" w:pos="576"/>
        </w:tabs>
        <w:ind w:left="576" w:hanging="576"/>
      </w:pPr>
    </w:lvl>
    <w:lvl w:ilvl="2">
      <w:start w:val="1"/>
      <w:numFmt w:val="decimal"/>
      <w:pStyle w:val="Naslov3"/>
      <w:lvlText w:val="%1.%2.%3"/>
      <w:lvlJc w:val="left"/>
      <w:pPr>
        <w:tabs>
          <w:tab w:val="num" w:pos="720"/>
        </w:tabs>
        <w:ind w:left="720" w:hanging="720"/>
      </w:pPr>
    </w:lvl>
    <w:lvl w:ilvl="3">
      <w:start w:val="1"/>
      <w:numFmt w:val="decimal"/>
      <w:pStyle w:val="Naslov4"/>
      <w:lvlText w:val="%1.%2.%3.%4"/>
      <w:lvlJc w:val="left"/>
      <w:pPr>
        <w:tabs>
          <w:tab w:val="num" w:pos="864"/>
        </w:tabs>
        <w:ind w:left="864" w:hanging="864"/>
      </w:pPr>
    </w:lvl>
    <w:lvl w:ilvl="4">
      <w:start w:val="1"/>
      <w:numFmt w:val="decimal"/>
      <w:pStyle w:val="Naslov5"/>
      <w:lvlText w:val="%1.%2.%3.%4.%5"/>
      <w:lvlJc w:val="left"/>
      <w:pPr>
        <w:tabs>
          <w:tab w:val="num" w:pos="1008"/>
        </w:tabs>
        <w:ind w:left="1008" w:hanging="1008"/>
      </w:pPr>
    </w:lvl>
    <w:lvl w:ilvl="5">
      <w:start w:val="1"/>
      <w:numFmt w:val="decimal"/>
      <w:pStyle w:val="Naslov6"/>
      <w:lvlText w:val="%1.%2.%3.%4.%5.%6"/>
      <w:lvlJc w:val="left"/>
      <w:pPr>
        <w:tabs>
          <w:tab w:val="num" w:pos="1152"/>
        </w:tabs>
        <w:ind w:left="1152" w:hanging="1152"/>
      </w:pPr>
    </w:lvl>
    <w:lvl w:ilvl="6">
      <w:start w:val="1"/>
      <w:numFmt w:val="decimal"/>
      <w:pStyle w:val="Naslov7"/>
      <w:lvlText w:val="%1.%2.%3.%4.%5.%6.%7"/>
      <w:lvlJc w:val="left"/>
      <w:pPr>
        <w:tabs>
          <w:tab w:val="num" w:pos="1296"/>
        </w:tabs>
        <w:ind w:left="1296" w:hanging="1296"/>
      </w:pPr>
    </w:lvl>
    <w:lvl w:ilvl="7">
      <w:start w:val="1"/>
      <w:numFmt w:val="decimal"/>
      <w:pStyle w:val="Naslov8"/>
      <w:lvlText w:val="%1.%2.%3.%4.%5.%6.%7.%8"/>
      <w:lvlJc w:val="left"/>
      <w:pPr>
        <w:tabs>
          <w:tab w:val="num" w:pos="1440"/>
        </w:tabs>
        <w:ind w:left="1440" w:hanging="1440"/>
      </w:pPr>
    </w:lvl>
    <w:lvl w:ilvl="8">
      <w:start w:val="1"/>
      <w:numFmt w:val="decimal"/>
      <w:pStyle w:val="Naslov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7" w15:restartNumberingAfterBreak="0">
    <w:nsid w:val="6EA21733"/>
    <w:multiLevelType w:val="multilevel"/>
    <w:tmpl w:val="F92A763C"/>
    <w:name w:val="I_SectionTitle_List"/>
    <w:lvl w:ilvl="0">
      <w:start w:val="1"/>
      <w:numFmt w:val="decimal"/>
      <w:pStyle w:val="ISectionTitle"/>
      <w:lvlText w:val="%1"/>
      <w:lvlJc w:val="left"/>
      <w:pPr>
        <w:tabs>
          <w:tab w:val="num" w:pos="432"/>
        </w:tabs>
        <w:ind w:left="432" w:hanging="432"/>
      </w:pPr>
      <w:rPr>
        <w:rFonts w:hint="default"/>
      </w:rPr>
    </w:lvl>
    <w:lvl w:ilvl="1">
      <w:start w:val="1"/>
      <w:numFmt w:val="decimal"/>
      <w:pStyle w:val="ISubSectionTitle"/>
      <w:lvlText w:val="%1.%2"/>
      <w:lvlJc w:val="left"/>
      <w:pPr>
        <w:tabs>
          <w:tab w:val="num" w:pos="576"/>
        </w:tabs>
        <w:ind w:left="576" w:hanging="576"/>
      </w:pPr>
      <w:rPr>
        <w:rFonts w:hint="default"/>
      </w:rPr>
    </w:lvl>
    <w:lvl w:ilvl="2">
      <w:start w:val="1"/>
      <w:numFmt w:val="decimal"/>
      <w:pStyle w:val="ISubSubSectionTitle"/>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7C9A7854"/>
    <w:multiLevelType w:val="hybridMultilevel"/>
    <w:tmpl w:val="29D8CBDC"/>
    <w:lvl w:ilvl="0" w:tplc="69AA3DA4">
      <w:start w:val="1"/>
      <w:numFmt w:val="decimal"/>
      <w:pStyle w:val="IBibliography"/>
      <w:lvlText w:val="[%1]"/>
      <w:lvlJc w:val="left"/>
      <w:pPr>
        <w:ind w:left="36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7EE03544"/>
    <w:multiLevelType w:val="multilevel"/>
    <w:tmpl w:val="C742CCD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 w:numId="8">
    <w:abstractNumId w:val="1"/>
  </w:num>
  <w:num w:numId="9">
    <w:abstractNumId w:val="3"/>
  </w:num>
  <w:num w:numId="10">
    <w:abstractNumId w:val="3"/>
  </w:num>
  <w:num w:numId="11">
    <w:abstractNumId w:val="7"/>
  </w:num>
  <w:num w:numId="12">
    <w:abstractNumId w:val="7"/>
    <w:lvlOverride w:ilvl="0">
      <w:lvl w:ilvl="0">
        <w:start w:val="1"/>
        <w:numFmt w:val="decimal"/>
        <w:pStyle w:val="ISectionTitle"/>
        <w:lvlText w:val="%1"/>
        <w:lvlJc w:val="left"/>
        <w:pPr>
          <w:tabs>
            <w:tab w:val="num" w:pos="432"/>
          </w:tabs>
          <w:ind w:left="432" w:hanging="432"/>
        </w:pPr>
        <w:rPr>
          <w:rFonts w:hint="default"/>
        </w:rPr>
      </w:lvl>
    </w:lvlOverride>
    <w:lvlOverride w:ilvl="1">
      <w:lvl w:ilvl="1">
        <w:start w:val="1"/>
        <w:numFmt w:val="decimal"/>
        <w:pStyle w:val="ISubSectionTitle"/>
        <w:lvlText w:val="%1.%2"/>
        <w:lvlJc w:val="left"/>
        <w:pPr>
          <w:tabs>
            <w:tab w:val="num" w:pos="576"/>
          </w:tabs>
          <w:ind w:left="576" w:hanging="576"/>
        </w:pPr>
        <w:rPr>
          <w:rFonts w:hint="default"/>
        </w:rPr>
      </w:lvl>
    </w:lvlOverride>
    <w:lvlOverride w:ilvl="2">
      <w:lvl w:ilvl="2">
        <w:start w:val="1"/>
        <w:numFmt w:val="decimal"/>
        <w:pStyle w:val="ISubSubSectionTitle"/>
        <w:lvlText w:val="%1.%2.%3"/>
        <w:lvlJc w:val="left"/>
        <w:pPr>
          <w:tabs>
            <w:tab w:val="num" w:pos="720"/>
          </w:tabs>
          <w:ind w:left="720" w:hanging="720"/>
        </w:pPr>
        <w:rPr>
          <w:rFonts w:hint="default"/>
        </w:rPr>
      </w:lvl>
    </w:lvlOverride>
    <w:lvlOverride w:ilvl="3">
      <w:lvl w:ilvl="3">
        <w:start w:val="1"/>
        <w:numFmt w:val="decimal"/>
        <w:lvlText w:val="%1.%2.%3.%4"/>
        <w:lvlJc w:val="left"/>
        <w:pPr>
          <w:tabs>
            <w:tab w:val="num" w:pos="864"/>
          </w:tabs>
          <w:ind w:left="864" w:hanging="864"/>
        </w:pPr>
        <w:rPr>
          <w:rFonts w:hint="default"/>
        </w:rPr>
      </w:lvl>
    </w:lvlOverride>
    <w:lvlOverride w:ilvl="4">
      <w:lvl w:ilvl="4">
        <w:start w:val="1"/>
        <w:numFmt w:val="decimal"/>
        <w:lvlText w:val="%1.%2.%3.%4.%5"/>
        <w:lvlJc w:val="left"/>
        <w:pPr>
          <w:tabs>
            <w:tab w:val="num" w:pos="1008"/>
          </w:tabs>
          <w:ind w:left="1008" w:hanging="1008"/>
        </w:pPr>
        <w:rPr>
          <w:rFonts w:hint="default"/>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13">
    <w:abstractNumId w:val="9"/>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69"/>
    <w:rsid w:val="00014998"/>
    <w:rsid w:val="00064F7D"/>
    <w:rsid w:val="000671D1"/>
    <w:rsid w:val="00072162"/>
    <w:rsid w:val="00097709"/>
    <w:rsid w:val="000A2A1F"/>
    <w:rsid w:val="000E488A"/>
    <w:rsid w:val="001019A7"/>
    <w:rsid w:val="00120D22"/>
    <w:rsid w:val="0012571B"/>
    <w:rsid w:val="0012769F"/>
    <w:rsid w:val="0013521F"/>
    <w:rsid w:val="00160750"/>
    <w:rsid w:val="001617EA"/>
    <w:rsid w:val="00164B1C"/>
    <w:rsid w:val="00190066"/>
    <w:rsid w:val="0019479F"/>
    <w:rsid w:val="001E6769"/>
    <w:rsid w:val="001E6D9E"/>
    <w:rsid w:val="001F2858"/>
    <w:rsid w:val="00290898"/>
    <w:rsid w:val="0029783C"/>
    <w:rsid w:val="002A68BE"/>
    <w:rsid w:val="002B55EC"/>
    <w:rsid w:val="00337F2E"/>
    <w:rsid w:val="00357EBD"/>
    <w:rsid w:val="00362CE5"/>
    <w:rsid w:val="00375CD2"/>
    <w:rsid w:val="00383BD4"/>
    <w:rsid w:val="003B22AA"/>
    <w:rsid w:val="003B53DF"/>
    <w:rsid w:val="003C7822"/>
    <w:rsid w:val="003F22F1"/>
    <w:rsid w:val="003F2B31"/>
    <w:rsid w:val="004128CE"/>
    <w:rsid w:val="00414563"/>
    <w:rsid w:val="00421166"/>
    <w:rsid w:val="004244A2"/>
    <w:rsid w:val="00447A0D"/>
    <w:rsid w:val="00452BA0"/>
    <w:rsid w:val="004A1A34"/>
    <w:rsid w:val="004A71CC"/>
    <w:rsid w:val="004F166F"/>
    <w:rsid w:val="00523A16"/>
    <w:rsid w:val="00562A3A"/>
    <w:rsid w:val="005636B8"/>
    <w:rsid w:val="00572FC4"/>
    <w:rsid w:val="0058653D"/>
    <w:rsid w:val="005C267F"/>
    <w:rsid w:val="005D507A"/>
    <w:rsid w:val="00610736"/>
    <w:rsid w:val="006E61C6"/>
    <w:rsid w:val="006F3C97"/>
    <w:rsid w:val="00704A68"/>
    <w:rsid w:val="0071240A"/>
    <w:rsid w:val="00744DDA"/>
    <w:rsid w:val="0076159E"/>
    <w:rsid w:val="007B664E"/>
    <w:rsid w:val="007F42E7"/>
    <w:rsid w:val="00836CE5"/>
    <w:rsid w:val="00861764"/>
    <w:rsid w:val="00875C0A"/>
    <w:rsid w:val="008F6D3F"/>
    <w:rsid w:val="008F79DE"/>
    <w:rsid w:val="009217B0"/>
    <w:rsid w:val="00930AC2"/>
    <w:rsid w:val="00934CD3"/>
    <w:rsid w:val="00953437"/>
    <w:rsid w:val="00954D24"/>
    <w:rsid w:val="009627A1"/>
    <w:rsid w:val="00977AF1"/>
    <w:rsid w:val="009B3E65"/>
    <w:rsid w:val="009B4332"/>
    <w:rsid w:val="009C2830"/>
    <w:rsid w:val="009C4AC9"/>
    <w:rsid w:val="009F1CF1"/>
    <w:rsid w:val="00A56515"/>
    <w:rsid w:val="00A633FA"/>
    <w:rsid w:val="00A75973"/>
    <w:rsid w:val="00A938B4"/>
    <w:rsid w:val="00AD471E"/>
    <w:rsid w:val="00B01DF7"/>
    <w:rsid w:val="00B36EC4"/>
    <w:rsid w:val="00B65CD1"/>
    <w:rsid w:val="00B87A3B"/>
    <w:rsid w:val="00BC2A1B"/>
    <w:rsid w:val="00BD172F"/>
    <w:rsid w:val="00BE0144"/>
    <w:rsid w:val="00BE0186"/>
    <w:rsid w:val="00C26CEC"/>
    <w:rsid w:val="00C72479"/>
    <w:rsid w:val="00CF04E6"/>
    <w:rsid w:val="00D60E64"/>
    <w:rsid w:val="00D84FE0"/>
    <w:rsid w:val="00D93337"/>
    <w:rsid w:val="00DB09DB"/>
    <w:rsid w:val="00DC37CA"/>
    <w:rsid w:val="00DE35B3"/>
    <w:rsid w:val="00E01DED"/>
    <w:rsid w:val="00E14F54"/>
    <w:rsid w:val="00E2346F"/>
    <w:rsid w:val="00E37A5E"/>
    <w:rsid w:val="00ED0873"/>
    <w:rsid w:val="00ED6067"/>
    <w:rsid w:val="00F26D9A"/>
    <w:rsid w:val="00F26F4A"/>
    <w:rsid w:val="00FA4677"/>
    <w:rsid w:val="00FD1A76"/>
    <w:rsid w:val="00FF08F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1085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avaden">
    <w:name w:val="Normal"/>
    <w:next w:val="Navaden-zamik"/>
    <w:qFormat/>
    <w:rsid w:val="00D93337"/>
    <w:pPr>
      <w:ind w:firstLine="346"/>
      <w:jc w:val="both"/>
    </w:pPr>
    <w:rPr>
      <w:lang w:val="en-US" w:eastAsia="en-US"/>
    </w:rPr>
  </w:style>
  <w:style w:type="paragraph" w:styleId="Naslov1">
    <w:name w:val="heading 1"/>
    <w:basedOn w:val="Normal-noindent"/>
    <w:next w:val="Navaden"/>
    <w:qFormat/>
    <w:rsid w:val="003F22F1"/>
    <w:pPr>
      <w:keepNext/>
      <w:numPr>
        <w:numId w:val="10"/>
      </w:numPr>
      <w:spacing w:before="240" w:after="60"/>
      <w:jc w:val="left"/>
      <w:outlineLvl w:val="0"/>
    </w:pPr>
    <w:rPr>
      <w:b/>
      <w:kern w:val="28"/>
      <w:sz w:val="28"/>
    </w:rPr>
  </w:style>
  <w:style w:type="paragraph" w:styleId="Naslov2">
    <w:name w:val="heading 2"/>
    <w:basedOn w:val="Normal-noindent"/>
    <w:next w:val="Navaden"/>
    <w:qFormat/>
    <w:rsid w:val="003F22F1"/>
    <w:pPr>
      <w:keepNext/>
      <w:numPr>
        <w:ilvl w:val="1"/>
        <w:numId w:val="10"/>
      </w:numPr>
      <w:spacing w:before="240" w:after="60"/>
      <w:jc w:val="left"/>
      <w:outlineLvl w:val="1"/>
    </w:pPr>
    <w:rPr>
      <w:b/>
      <w:sz w:val="24"/>
    </w:rPr>
  </w:style>
  <w:style w:type="paragraph" w:styleId="Naslov3">
    <w:name w:val="heading 3"/>
    <w:basedOn w:val="Normal-noindent"/>
    <w:next w:val="Navaden"/>
    <w:qFormat/>
    <w:rsid w:val="003F22F1"/>
    <w:pPr>
      <w:keepNext/>
      <w:numPr>
        <w:ilvl w:val="2"/>
        <w:numId w:val="10"/>
      </w:numPr>
      <w:spacing w:before="240" w:after="60"/>
      <w:jc w:val="left"/>
      <w:outlineLvl w:val="2"/>
    </w:pPr>
    <w:rPr>
      <w:b/>
      <w:sz w:val="22"/>
    </w:rPr>
  </w:style>
  <w:style w:type="paragraph" w:styleId="Naslov4">
    <w:name w:val="heading 4"/>
    <w:basedOn w:val="Normal-noindent"/>
    <w:next w:val="Navaden"/>
    <w:qFormat/>
    <w:rsid w:val="00953437"/>
    <w:pPr>
      <w:keepNext/>
      <w:numPr>
        <w:ilvl w:val="3"/>
        <w:numId w:val="10"/>
      </w:numPr>
      <w:spacing w:before="240" w:after="60"/>
      <w:jc w:val="left"/>
      <w:outlineLvl w:val="3"/>
    </w:pPr>
    <w:rPr>
      <w:b/>
    </w:rPr>
  </w:style>
  <w:style w:type="paragraph" w:styleId="Naslov5">
    <w:name w:val="heading 5"/>
    <w:basedOn w:val="Navaden"/>
    <w:next w:val="Navaden"/>
    <w:qFormat/>
    <w:pPr>
      <w:numPr>
        <w:ilvl w:val="4"/>
        <w:numId w:val="10"/>
      </w:numPr>
      <w:spacing w:before="240" w:after="60"/>
      <w:outlineLvl w:val="4"/>
    </w:pPr>
    <w:rPr>
      <w:sz w:val="22"/>
    </w:rPr>
  </w:style>
  <w:style w:type="paragraph" w:styleId="Naslov6">
    <w:name w:val="heading 6"/>
    <w:basedOn w:val="Navaden"/>
    <w:next w:val="Navaden"/>
    <w:qFormat/>
    <w:pPr>
      <w:numPr>
        <w:ilvl w:val="5"/>
        <w:numId w:val="10"/>
      </w:numPr>
      <w:spacing w:before="240" w:after="60"/>
      <w:outlineLvl w:val="5"/>
    </w:pPr>
    <w:rPr>
      <w:i/>
      <w:sz w:val="22"/>
    </w:rPr>
  </w:style>
  <w:style w:type="paragraph" w:styleId="Naslov7">
    <w:name w:val="heading 7"/>
    <w:basedOn w:val="Navaden"/>
    <w:next w:val="Navaden"/>
    <w:qFormat/>
    <w:pPr>
      <w:numPr>
        <w:ilvl w:val="6"/>
        <w:numId w:val="10"/>
      </w:numPr>
      <w:spacing w:before="240" w:after="60"/>
      <w:outlineLvl w:val="6"/>
    </w:pPr>
    <w:rPr>
      <w:rFonts w:ascii="Arial" w:hAnsi="Arial"/>
    </w:rPr>
  </w:style>
  <w:style w:type="paragraph" w:styleId="Naslov8">
    <w:name w:val="heading 8"/>
    <w:basedOn w:val="Navaden"/>
    <w:next w:val="Navaden"/>
    <w:qFormat/>
    <w:pPr>
      <w:numPr>
        <w:ilvl w:val="7"/>
        <w:numId w:val="10"/>
      </w:numPr>
      <w:spacing w:before="240" w:after="60"/>
      <w:outlineLvl w:val="7"/>
    </w:pPr>
    <w:rPr>
      <w:rFonts w:ascii="Arial" w:hAnsi="Arial"/>
      <w:i/>
    </w:rPr>
  </w:style>
  <w:style w:type="paragraph" w:styleId="Naslov9">
    <w:name w:val="heading 9"/>
    <w:basedOn w:val="Navaden"/>
    <w:next w:val="Navaden"/>
    <w:qFormat/>
    <w:pPr>
      <w:numPr>
        <w:ilvl w:val="8"/>
        <w:numId w:val="10"/>
      </w:numPr>
      <w:spacing w:before="240" w:after="60"/>
      <w:outlineLvl w:val="8"/>
    </w:pPr>
    <w:rPr>
      <w:rFonts w:ascii="Arial" w:hAnsi="Arial"/>
      <w:b/>
      <w:i/>
      <w:sz w:val="1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styleId="Pripombasklic">
    <w:name w:val="annotation reference"/>
    <w:semiHidden/>
    <w:rPr>
      <w:sz w:val="16"/>
    </w:rPr>
  </w:style>
  <w:style w:type="paragraph" w:styleId="Glava">
    <w:name w:val="header"/>
    <w:basedOn w:val="Navaden"/>
    <w:pPr>
      <w:tabs>
        <w:tab w:val="center" w:pos="4153"/>
        <w:tab w:val="right" w:pos="8306"/>
      </w:tabs>
    </w:pPr>
  </w:style>
  <w:style w:type="paragraph" w:styleId="Bibliografija">
    <w:name w:val="Bibliography"/>
    <w:basedOn w:val="Navaden"/>
    <w:rsid w:val="00160750"/>
    <w:pPr>
      <w:tabs>
        <w:tab w:val="left" w:pos="432"/>
      </w:tabs>
      <w:ind w:firstLine="0"/>
    </w:pPr>
  </w:style>
  <w:style w:type="paragraph" w:styleId="Noga">
    <w:name w:val="footer"/>
    <w:basedOn w:val="Navaden"/>
    <w:pPr>
      <w:tabs>
        <w:tab w:val="center" w:pos="4153"/>
        <w:tab w:val="right" w:pos="8306"/>
      </w:tabs>
    </w:pPr>
  </w:style>
  <w:style w:type="paragraph" w:customStyle="1" w:styleId="ISubSubSectionTitle">
    <w:name w:val="I_SubSubSectionTitle"/>
    <w:basedOn w:val="ISubSectionTitle"/>
    <w:next w:val="ITextnoindent"/>
    <w:qFormat/>
    <w:rsid w:val="001019A7"/>
    <w:pPr>
      <w:numPr>
        <w:ilvl w:val="2"/>
      </w:numPr>
      <w:outlineLvl w:val="2"/>
    </w:pPr>
    <w:rPr>
      <w:sz w:val="22"/>
    </w:rPr>
  </w:style>
  <w:style w:type="paragraph" w:customStyle="1" w:styleId="Naslov10">
    <w:name w:val="Naslov1"/>
    <w:basedOn w:val="Normal-noindent"/>
    <w:next w:val="Navaden"/>
    <w:rsid w:val="00953437"/>
    <w:pPr>
      <w:spacing w:after="240"/>
      <w:jc w:val="left"/>
    </w:pPr>
    <w:rPr>
      <w:b/>
      <w:sz w:val="32"/>
      <w:lang w:val="sl-SI"/>
    </w:rPr>
  </w:style>
  <w:style w:type="paragraph" w:styleId="Navaden-zamik">
    <w:name w:val="Normal Indent"/>
    <w:basedOn w:val="Navaden"/>
    <w:pPr>
      <w:ind w:firstLine="340"/>
    </w:pPr>
  </w:style>
  <w:style w:type="paragraph" w:styleId="Pripombabesedilo">
    <w:name w:val="annotation text"/>
    <w:basedOn w:val="Navaden"/>
    <w:semiHidden/>
  </w:style>
  <w:style w:type="character" w:styleId="tevilkastrani">
    <w:name w:val="page number"/>
    <w:basedOn w:val="Privzetapisavaodstavka"/>
  </w:style>
  <w:style w:type="paragraph" w:styleId="Zgradbadokumenta">
    <w:name w:val="Document Map"/>
    <w:basedOn w:val="Navaden"/>
    <w:semiHidden/>
    <w:pPr>
      <w:shd w:val="clear" w:color="auto" w:fill="000080"/>
    </w:pPr>
    <w:rPr>
      <w:rFonts w:ascii="Tahoma" w:hAnsi="Tahoma"/>
    </w:rPr>
  </w:style>
  <w:style w:type="paragraph" w:customStyle="1" w:styleId="Normal-noindent">
    <w:name w:val="Normal-no indent"/>
    <w:basedOn w:val="Navaden"/>
    <w:next w:val="Navaden"/>
    <w:rsid w:val="00953437"/>
    <w:pPr>
      <w:ind w:firstLine="0"/>
    </w:pPr>
  </w:style>
  <w:style w:type="character" w:styleId="Hiperpovezava">
    <w:name w:val="Hyperlink"/>
    <w:rsid w:val="009627A1"/>
    <w:rPr>
      <w:color w:val="auto"/>
      <w:u w:val="none"/>
    </w:rPr>
  </w:style>
  <w:style w:type="paragraph" w:styleId="Napis">
    <w:name w:val="caption"/>
    <w:basedOn w:val="Normal-noindent"/>
    <w:next w:val="Navaden"/>
    <w:unhideWhenUsed/>
    <w:qFormat/>
    <w:rsid w:val="00421166"/>
  </w:style>
  <w:style w:type="paragraph" w:customStyle="1" w:styleId="IAbstract">
    <w:name w:val="I_Abstract"/>
    <w:basedOn w:val="Navaden"/>
    <w:qFormat/>
    <w:rsid w:val="001E6D9E"/>
    <w:pPr>
      <w:spacing w:before="240"/>
      <w:ind w:left="562" w:right="562" w:firstLine="0"/>
    </w:pPr>
    <w:rPr>
      <w:i/>
    </w:rPr>
  </w:style>
  <w:style w:type="paragraph" w:customStyle="1" w:styleId="IAbstractSI">
    <w:name w:val="I_Abstract_SI"/>
    <w:basedOn w:val="Navaden"/>
    <w:qFormat/>
    <w:rsid w:val="001E6D9E"/>
    <w:pPr>
      <w:spacing w:before="60" w:after="240"/>
      <w:ind w:left="562" w:right="562" w:firstLine="0"/>
    </w:pPr>
    <w:rPr>
      <w:i/>
    </w:rPr>
  </w:style>
  <w:style w:type="paragraph" w:customStyle="1" w:styleId="IAcknowledgement">
    <w:name w:val="I_Acknowledgement"/>
    <w:basedOn w:val="Naslov2"/>
    <w:next w:val="Navaden"/>
    <w:qFormat/>
    <w:rsid w:val="001E6D9E"/>
    <w:pPr>
      <w:numPr>
        <w:ilvl w:val="0"/>
        <w:numId w:val="0"/>
      </w:numPr>
    </w:pPr>
  </w:style>
  <w:style w:type="paragraph" w:customStyle="1" w:styleId="IAuthors">
    <w:name w:val="I_Authors"/>
    <w:basedOn w:val="Normal-noindent"/>
    <w:qFormat/>
    <w:rsid w:val="00D84FE0"/>
    <w:pPr>
      <w:spacing w:after="120"/>
      <w:contextualSpacing/>
      <w:jc w:val="left"/>
    </w:pPr>
  </w:style>
  <w:style w:type="paragraph" w:customStyle="1" w:styleId="IBibliography">
    <w:name w:val="I_Bibliography"/>
    <w:basedOn w:val="Navaden"/>
    <w:qFormat/>
    <w:rsid w:val="00E01DED"/>
    <w:pPr>
      <w:numPr>
        <w:numId w:val="14"/>
      </w:numPr>
      <w:tabs>
        <w:tab w:val="left" w:pos="432"/>
      </w:tabs>
    </w:pPr>
  </w:style>
  <w:style w:type="paragraph" w:customStyle="1" w:styleId="IFigure">
    <w:name w:val="I_Figure"/>
    <w:basedOn w:val="Normal-noindent"/>
    <w:next w:val="IFigureCaption"/>
    <w:qFormat/>
    <w:rsid w:val="00D84FE0"/>
    <w:pPr>
      <w:jc w:val="center"/>
    </w:pPr>
    <w:rPr>
      <w:noProof/>
      <w:lang w:val="en-GB" w:eastAsia="en-GB"/>
    </w:rPr>
  </w:style>
  <w:style w:type="paragraph" w:customStyle="1" w:styleId="IFigureCaption">
    <w:name w:val="I_FigureCaption"/>
    <w:basedOn w:val="Normal-noindent"/>
    <w:qFormat/>
    <w:rsid w:val="001019A7"/>
    <w:pPr>
      <w:spacing w:before="60" w:after="180"/>
      <w:jc w:val="left"/>
    </w:pPr>
  </w:style>
  <w:style w:type="paragraph" w:customStyle="1" w:styleId="IKeywords">
    <w:name w:val="I_Keywords"/>
    <w:basedOn w:val="Normal-noindent"/>
    <w:qFormat/>
    <w:rsid w:val="005D507A"/>
    <w:pPr>
      <w:spacing w:before="240" w:after="240"/>
    </w:pPr>
  </w:style>
  <w:style w:type="paragraph" w:customStyle="1" w:styleId="IReceived">
    <w:name w:val="I_Received"/>
    <w:basedOn w:val="Normal-noindent"/>
    <w:qFormat/>
    <w:rsid w:val="005D507A"/>
  </w:style>
  <w:style w:type="paragraph" w:customStyle="1" w:styleId="IReferences">
    <w:name w:val="I_References"/>
    <w:basedOn w:val="Naslov1"/>
    <w:qFormat/>
    <w:rsid w:val="001E6D9E"/>
    <w:pPr>
      <w:numPr>
        <w:numId w:val="0"/>
      </w:numPr>
    </w:pPr>
  </w:style>
  <w:style w:type="paragraph" w:customStyle="1" w:styleId="ISectionTitle">
    <w:name w:val="I_SectionTitle"/>
    <w:basedOn w:val="ITextnoindent"/>
    <w:next w:val="ITextnoindent"/>
    <w:qFormat/>
    <w:rsid w:val="001019A7"/>
    <w:pPr>
      <w:keepNext/>
      <w:numPr>
        <w:numId w:val="11"/>
      </w:numPr>
      <w:spacing w:before="240" w:after="60"/>
      <w:ind w:left="431" w:hanging="431"/>
      <w:outlineLvl w:val="0"/>
    </w:pPr>
    <w:rPr>
      <w:b/>
      <w:sz w:val="28"/>
    </w:rPr>
  </w:style>
  <w:style w:type="paragraph" w:customStyle="1" w:styleId="ISubSectionTitle">
    <w:name w:val="I_SubSectionTitle"/>
    <w:basedOn w:val="ISectionTitle"/>
    <w:next w:val="ITextnoindent"/>
    <w:qFormat/>
    <w:rsid w:val="001019A7"/>
    <w:pPr>
      <w:numPr>
        <w:ilvl w:val="1"/>
      </w:numPr>
      <w:ind w:left="578" w:hanging="578"/>
      <w:jc w:val="left"/>
      <w:outlineLvl w:val="1"/>
    </w:pPr>
    <w:rPr>
      <w:sz w:val="24"/>
    </w:rPr>
  </w:style>
  <w:style w:type="paragraph" w:customStyle="1" w:styleId="ITable">
    <w:name w:val="I_Table"/>
    <w:basedOn w:val="Navaden-zamik"/>
    <w:next w:val="ITableCaption"/>
    <w:qFormat/>
    <w:rsid w:val="001E6D9E"/>
    <w:pPr>
      <w:ind w:firstLine="0"/>
    </w:pPr>
  </w:style>
  <w:style w:type="paragraph" w:customStyle="1" w:styleId="ITableCaption">
    <w:name w:val="I_TableCaption"/>
    <w:basedOn w:val="Navaden-zamik"/>
    <w:qFormat/>
    <w:rsid w:val="001E6D9E"/>
    <w:pPr>
      <w:spacing w:before="120" w:after="120"/>
      <w:ind w:firstLine="0"/>
      <w:jc w:val="center"/>
    </w:pPr>
  </w:style>
  <w:style w:type="paragraph" w:customStyle="1" w:styleId="IText">
    <w:name w:val="I_Text"/>
    <w:basedOn w:val="Normal-noindent"/>
    <w:qFormat/>
    <w:rsid w:val="001E6D9E"/>
    <w:pPr>
      <w:ind w:firstLine="346"/>
    </w:pPr>
  </w:style>
  <w:style w:type="paragraph" w:customStyle="1" w:styleId="ITextnoindent">
    <w:name w:val="I_Text_noindent"/>
    <w:basedOn w:val="IText"/>
    <w:next w:val="IText"/>
    <w:rsid w:val="001E6D9E"/>
    <w:pPr>
      <w:ind w:firstLine="0"/>
    </w:pPr>
  </w:style>
  <w:style w:type="paragraph" w:customStyle="1" w:styleId="ITitle">
    <w:name w:val="I_Title"/>
    <w:basedOn w:val="Naslov10"/>
    <w:next w:val="IAuthors"/>
    <w:qFormat/>
    <w:rsid w:val="001E6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Informatica2022.dotx</Template>
  <TotalTime>68</TotalTime>
  <Pages>1</Pages>
  <Words>96</Words>
  <Characters>548</Characters>
  <Application>Microsoft Office Word</Application>
  <DocSecurity>0</DocSecurity>
  <Lines>4</Lines>
  <Paragraphs>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Enter short title in File/Properties/Summary</vt:lpstr>
      <vt:lpstr>Enter short title in File/Properties/Summary</vt:lpstr>
    </vt:vector>
  </TitlesOfParts>
  <Company/>
  <LinksUpToDate>false</LinksUpToDate>
  <CharactersWithSpaces>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 short title in File/Properties/Summary</dc:title>
  <dc:subject/>
  <dc:creator>Borut</dc:creator>
  <cp:keywords/>
  <cp:lastModifiedBy>Borut</cp:lastModifiedBy>
  <cp:revision>26</cp:revision>
  <cp:lastPrinted>1999-12-01T16:08:00Z</cp:lastPrinted>
  <dcterms:created xsi:type="dcterms:W3CDTF">2021-10-03T10:50:00Z</dcterms:created>
  <dcterms:modified xsi:type="dcterms:W3CDTF">2022-01-01T18:08:00Z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46</vt:i4>
  </property>
  <property fmtid="{D5CDD505-2E9C-101B-9397-08002B2CF9AE}" pid="3" name="Leto">
    <vt:i4>2022</vt:i4>
  </property>
  <property fmtid="{D5CDD505-2E9C-101B-9397-08002B2CF9AE}" pid="4" name="Avtor">
    <vt:lpwstr>T.J. Author et al.</vt:lpwstr>
  </property>
  <property fmtid="{D5CDD505-2E9C-101B-9397-08002B2CF9AE}" pid="5" name="KratekNaslov">
    <vt:lpwstr>Enter short title into File/Properties</vt:lpwstr>
  </property>
  <property fmtid="{D5CDD505-2E9C-101B-9397-08002B2CF9AE}" pid="6" name="pageF">
    <vt:i4>501</vt:i4>
  </property>
  <property fmtid="{D5CDD505-2E9C-101B-9397-08002B2CF9AE}" pid="7" name="pageL">
    <vt:i4>505</vt:i4>
  </property>
  <property fmtid="{D5CDD505-2E9C-101B-9397-08002B2CF9AE}" pid="8" name="Verzija">
    <vt:lpwstr>2022.4</vt:lpwstr>
  </property>
  <property fmtid="{D5CDD505-2E9C-101B-9397-08002B2CF9AE}" pid="9" name="Issue">
    <vt:lpwstr>x</vt:lpwstr>
  </property>
  <property fmtid="{D5CDD505-2E9C-101B-9397-08002B2CF9AE}" pid="10" name="InfCode">
    <vt:lpwstr>xxxx</vt:lpwstr>
  </property>
</Properties>
</file>