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5 — Days 34 &amp; 35</w:t>
      </w:r>
    </w:p>
    <w:p>
      <w:pPr>
        <w:spacing w:after="80"/>
        <w:jc w:val="center"/>
      </w:pPr>
      <w:r>
        <w:rPr>
          <w:rFonts w:ascii="Arial" w:cs="Arial" w:eastAsia="Arial" w:hAnsi="Arial"/>
          <w:b/>
          <w:bCs/>
          <w:color w:val="1a1a2e"/>
          <w:sz w:val="30"/>
          <w:szCs w:val="30"/>
        </w:rPr>
        <w:t xml:space="preserve">Detection Engineering Report</w:t>
      </w:r>
    </w:p>
    <w:p>
      <w:pPr>
        <w:pBdr>
          <w:bottom w:val="single" w:color="2e6da4" w:sz="6"/>
        </w:pBdr>
        <w:spacing w:after="400"/>
        <w:jc w:val="center"/>
      </w:pPr>
      <w:r>
        <w:rPr>
          <w:rFonts w:ascii="Arial" w:cs="Arial" w:eastAsia="Arial" w:hAnsi="Arial"/>
          <w:color w:val="555555"/>
          <w:sz w:val="19"/>
          <w:szCs w:val="19"/>
        </w:rPr>
        <w:t xml:space="preserve">Suricata Signatures  |  Wazuh Rules  |  IOC-Driven Detection</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 Days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5, Days 34 and 35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Suricata rules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SID 100011–100014 — 4 network detection signatures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rules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100011–100014 — 4 host-based detection rules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Source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IOCs extracted from static and dynamic analysis of njRAT and Dexter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Limitation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PCAP available — rules validated conceptually, not via replay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April 2026</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1. Detection Engineering Approach</w:t>
      </w:r>
    </w:p>
    <w:p>
      <w:pPr>
        <w:spacing w:after="140"/>
      </w:pPr>
      <w:r>
        <w:rPr>
          <w:rFonts w:ascii="Arial" w:cs="Arial" w:eastAsia="Arial" w:hAnsi="Arial"/>
          <w:color w:val="1a1a1a"/>
          <w:sz w:val="21"/>
          <w:szCs w:val="21"/>
        </w:rPr>
        <w:t xml:space="preserve">The goal of Days 34 and 35 was to convert the IOCs and IOAs extracted from malware analysis into working detection rules. Detection engineering is the closing loop of the analysis workflow: observe the behaviour, understand the mechanism, express the detection, verify it fires, add it to the ruleset.</w:t>
      </w:r>
    </w:p>
    <w:p>
      <w:pPr>
        <w:spacing w:after="140"/>
      </w:pPr>
      <w:r>
        <w:rPr>
          <w:rFonts w:ascii="Arial" w:cs="Arial" w:eastAsia="Arial" w:hAnsi="Arial"/>
          <w:color w:val="1a1a1a"/>
          <w:sz w:val="21"/>
          <w:szCs w:val="21"/>
        </w:rPr>
        <w:t xml:space="preserve">Two detection layers were addressed: Suricata for network-level detection and Wazuh for host-level detection. The fundamental constraint this week was the absence of PCAP files — Hybrid Analysis (free tier) does not provide PCAP downloads, unlike ANY.RUN. This meant Suricata rules could not be validated through PCAP replay. Rules were written from evidence but tested conceptually rather than through live traffic replay.</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Detection Layer</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4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What it covers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Network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Suricata</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DNS queries to C2 domains, HTTP exfiltration, C2 IP connections, suspicious User-Agent</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Host-based</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Registry persistence, command execution, keylogging API, process injection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Coverage gap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Neither layer</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TripleDES encrypted C2 payload content (encrypted traffic — not inspectable)</w:t>
            </w:r>
          </w:p>
        </w:tc>
      </w:tr>
    </w:tbl>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2. Suricata Custom Rules</w:t>
      </w:r>
    </w:p>
    <w:p>
      <w:pPr>
        <w:spacing w:after="140"/>
      </w:pPr>
      <w:r>
        <w:rPr>
          <w:rFonts w:ascii="Arial" w:cs="Arial" w:eastAsia="Arial" w:hAnsi="Arial"/>
          <w:color w:val="1a1a1a"/>
          <w:sz w:val="21"/>
          <w:szCs w:val="21"/>
        </w:rPr>
        <w:t xml:space="preserve">All four rules are stored in /etc/suricata/rules/local.rules on the Kali Linux VM. Each rule is grounded in a specific IOC extracted from the analysis.</w:t>
      </w:r>
    </w:p>
    <w:p>
      <w:pPr>
        <w:spacing w:after="8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2.1 Rule SID 100011 — Dexter C2 IP</w:t>
      </w:r>
    </w:p>
    <w:p>
      <w:pPr>
        <w:pBdr>
          <w:left w:val="single" w:color="2e6da4" w:sz="8"/>
        </w:pBdr>
        <w:shd w:fill="F4F4F4" w:val="clear"/>
        <w:spacing w:after="30" w:before="30"/>
      </w:pPr>
      <w:r>
        <w:rPr>
          <w:rFonts w:ascii="Courier New" w:cs="Courier New" w:eastAsia="Courier New" w:hAnsi="Courier New"/>
          <w:color w:val="2e7d32"/>
          <w:sz w:val="18"/>
          <w:szCs w:val="18"/>
        </w:rPr>
        <w:t xml:space="preserve"># Detects any IP-layer connection to the Dexter infostealer C2 server</w:t>
      </w:r>
    </w:p>
    <w:p>
      <w:pPr>
        <w:pBdr>
          <w:left w:val="single" w:color="2e6da4" w:sz="8"/>
        </w:pBdr>
        <w:shd w:fill="F4F4F4" w:val="clear"/>
        <w:spacing w:after="30" w:before="30"/>
      </w:pPr>
      <w:r>
        <w:rPr>
          <w:rFonts w:ascii="Courier New" w:cs="Courier New" w:eastAsia="Courier New" w:hAnsi="Courier New"/>
          <w:color w:val="2e7d32"/>
          <w:sz w:val="18"/>
          <w:szCs w:val="18"/>
        </w:rPr>
        <w:t xml:space="preserve"># IOC source: strings ASCII analysis of win33.exe</w:t>
      </w:r>
    </w:p>
    <w:p>
      <w:pPr>
        <w:pBdr>
          <w:left w:val="single" w:color="2e6da4" w:sz="8"/>
        </w:pBdr>
        <w:shd w:fill="F4F4F4" w:val="clear"/>
        <w:spacing w:after="30" w:before="30"/>
      </w:pPr>
      <w:r>
        <w:rPr>
          <w:rFonts w:ascii="Courier New" w:cs="Courier New" w:eastAsia="Courier New" w:hAnsi="Courier New"/>
          <w:color w:val="2e7d32"/>
          <w:sz w:val="18"/>
          <w:szCs w:val="18"/>
        </w:rPr>
        <w:t xml:space="preserve"># C2 IP 151.248.115.107 confirmed in static analysis</w:t>
      </w:r>
    </w:p>
    <w:p>
      <w:pPr>
        <w:pBdr>
          <w:left w:val="single" w:color="2e6da4" w:sz="8"/>
        </w:pBdr>
        <w:shd w:fill="F4F4F4" w:val="clear"/>
        <w:spacing w:after="30" w:before="30"/>
      </w:pPr>
      <w:r>
        <w:rPr>
          <w:rFonts w:ascii="Courier New" w:cs="Courier New" w:eastAsia="Courier New" w:hAnsi="Courier New"/>
          <w:color w:val="2e7d32"/>
          <w:sz w:val="18"/>
          <w:szCs w:val="18"/>
        </w:rPr>
        <w:t xml:space="preserve">alert ip any any -&gt; 151.248.115.107 any (msg:"DEXTER C2 IP COMMUNICATION"; sid:100011; rev:1;)</w:t>
      </w:r>
    </w:p>
    <w:p>
      <w:pPr>
        <w:spacing w:after="140"/>
      </w:pPr>
      <w:r>
        <w:rPr>
          <w:rFonts w:ascii="Arial" w:cs="Arial" w:eastAsia="Arial" w:hAnsi="Arial"/>
          <w:color w:val="1a1a1a"/>
          <w:sz w:val="21"/>
          <w:szCs w:val="21"/>
        </w:rPr>
        <w:t xml:space="preserve">Detection logic: Fires on any packet where the destination IP is the confirmed Dexter C2 server. Protocol-agnostic — catches both HTTP and raw TCP connections. No threshold needed — any connection to this IP in a production environment is suspicious.</w:t>
      </w:r>
    </w:p>
    <w:p>
      <w:pPr>
        <w:pStyle w:val="Heading2"/>
        <w:spacing w:after="120" w:before="220"/>
      </w:pPr>
      <w:r>
        <w:rPr>
          <w:rFonts w:ascii="Arial" w:cs="Arial" w:eastAsia="Arial" w:hAnsi="Arial"/>
          <w:b/>
          <w:bCs/>
          <w:color w:val="2e6da4"/>
          <w:sz w:val="23"/>
          <w:szCs w:val="23"/>
        </w:rPr>
        <w:t xml:space="preserve">2.2 Rule SID 100012 — Dexter HTTP Exfiltration</w:t>
      </w:r>
    </w:p>
    <w:p>
      <w:pPr>
        <w:pBdr>
          <w:left w:val="single" w:color="2e6da4" w:sz="8"/>
        </w:pBdr>
        <w:shd w:fill="F4F4F4" w:val="clear"/>
        <w:spacing w:after="30" w:before="30"/>
      </w:pPr>
      <w:r>
        <w:rPr>
          <w:rFonts w:ascii="Courier New" w:cs="Courier New" w:eastAsia="Courier New" w:hAnsi="Courier New"/>
          <w:color w:val="2e7d32"/>
          <w:sz w:val="18"/>
          <w:szCs w:val="18"/>
        </w:rPr>
        <w:t xml:space="preserve"># Detects HTTP POST requests to the /gateway.php exfiltration endpoint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IOC source: strings ASCII analysis — HttpSendRequestA + /gateway.php</w:t>
      </w:r>
    </w:p>
    <w:p>
      <w:pPr>
        <w:pBdr>
          <w:left w:val="single" w:color="2e6da4" w:sz="8"/>
        </w:pBdr>
        <w:shd w:fill="F4F4F4" w:val="clear"/>
        <w:spacing w:after="30" w:before="30"/>
      </w:pPr>
      <w:r>
        <w:rPr>
          <w:rFonts w:ascii="Courier New" w:cs="Courier New" w:eastAsia="Courier New" w:hAnsi="Courier New"/>
          <w:color w:val="2e7d32"/>
          <w:sz w:val="18"/>
          <w:szCs w:val="18"/>
        </w:rPr>
        <w:t xml:space="preserve">alert http any any -&gt; any any (msg:"DEXTER HTTP POST TO GATEWAY.PHP"; content:"POST"; http_method; content:"/gateway.php"; http_uri; sid:100012; rev:1;)</w:t>
      </w:r>
    </w:p>
    <w:p>
      <w:pPr>
        <w:spacing w:after="140"/>
      </w:pPr>
      <w:r>
        <w:rPr>
          <w:rFonts w:ascii="Arial" w:cs="Arial" w:eastAsia="Arial" w:hAnsi="Arial"/>
          <w:color w:val="1a1a1a"/>
          <w:sz w:val="21"/>
          <w:szCs w:val="21"/>
        </w:rPr>
        <w:t xml:space="preserve">Detection logic: Matches HTTP POST requests with the specific URI /gateway.php. Dexter sends captured POS data to this endpoint. The combination of POST method and specific URI path reduces false positives — legitimate applications rarely POST to /gateway.php.</w:t>
      </w:r>
    </w:p>
    <w:p>
      <w:pPr>
        <w:pStyle w:val="Heading2"/>
        <w:spacing w:after="120" w:before="220"/>
      </w:pPr>
      <w:r>
        <w:rPr>
          <w:rFonts w:ascii="Arial" w:cs="Arial" w:eastAsia="Arial" w:hAnsi="Arial"/>
          <w:b/>
          <w:bCs/>
          <w:color w:val="2e6da4"/>
          <w:sz w:val="23"/>
          <w:szCs w:val="23"/>
        </w:rPr>
        <w:t xml:space="preserve">2.3 Rule SID 100013 — Suspicious Legacy User-Agent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Detects anomalous Mozilla/4.0 User-Agent used by legacy malware families</w:t>
      </w:r>
    </w:p>
    <w:p>
      <w:pPr>
        <w:pBdr>
          <w:left w:val="single" w:color="2e6da4" w:sz="8"/>
        </w:pBdr>
        <w:shd w:fill="F4F4F4" w:val="clear"/>
        <w:spacing w:after="30" w:before="30"/>
      </w:pPr>
      <w:r>
        <w:rPr>
          <w:rFonts w:ascii="Courier New" w:cs="Courier New" w:eastAsia="Courier New" w:hAnsi="Courier New"/>
          <w:color w:val="2e7d32"/>
          <w:sz w:val="18"/>
          <w:szCs w:val="18"/>
        </w:rPr>
        <w:t xml:space="preserve"># IOC source: static analysis — HTTP communication pattern for Dexter family</w:t>
      </w:r>
    </w:p>
    <w:p>
      <w:pPr>
        <w:pBdr>
          <w:left w:val="single" w:color="2e6da4" w:sz="8"/>
        </w:pBdr>
        <w:shd w:fill="F4F4F4" w:val="clear"/>
        <w:spacing w:after="30" w:before="30"/>
      </w:pPr>
      <w:r>
        <w:rPr>
          <w:rFonts w:ascii="Courier New" w:cs="Courier New" w:eastAsia="Courier New" w:hAnsi="Courier New"/>
          <w:color w:val="2e7d32"/>
          <w:sz w:val="18"/>
          <w:szCs w:val="18"/>
        </w:rPr>
        <w:t xml:space="preserve">alert http any any -&gt; any any (msg:"SUSPICIOUS LEGACY USER-AGENT MOZILLA/4.0"; content:"Mozilla/4.0"; http_header; sid:100013; rev:1;)</w:t>
      </w:r>
    </w:p>
    <w:p>
      <w:pPr>
        <w:spacing w:after="140"/>
      </w:pPr>
      <w:r>
        <w:rPr>
          <w:rFonts w:ascii="Arial" w:cs="Arial" w:eastAsia="Arial" w:hAnsi="Arial"/>
          <w:color w:val="1a1a1a"/>
          <w:sz w:val="21"/>
          <w:szCs w:val="21"/>
        </w:rPr>
        <w:t xml:space="preserve">Detection logic: Modern browsers no longer send Mozilla/4.0 User-Agent strings. Malware communicating over HTTP often uses hardcoded legacy User-Agent strings. This rule has a higher false positive risk than the IP or URI rules and would require tuning in a production environment — the threshold should be adjusted based on baseline traffic.</w:t>
      </w:r>
    </w:p>
    <w:p>
      <w:pPr>
        <w:pStyle w:val="Heading2"/>
        <w:spacing w:after="120" w:before="220"/>
      </w:pPr>
      <w:r>
        <w:rPr>
          <w:rFonts w:ascii="Arial" w:cs="Arial" w:eastAsia="Arial" w:hAnsi="Arial"/>
          <w:b/>
          <w:bCs/>
          <w:color w:val="2e6da4"/>
          <w:sz w:val="23"/>
          <w:szCs w:val="23"/>
        </w:rPr>
        <w:t xml:space="preserve">2.4 Rule SID 100014 — njRAT C2 DNS Query</w:t>
      </w:r>
    </w:p>
    <w:p>
      <w:pPr>
        <w:pBdr>
          <w:left w:val="single" w:color="2e6da4" w:sz="8"/>
        </w:pBdr>
        <w:shd w:fill="F4F4F4" w:val="clear"/>
        <w:spacing w:after="30" w:before="30"/>
      </w:pPr>
      <w:r>
        <w:rPr>
          <w:rFonts w:ascii="Courier New" w:cs="Courier New" w:eastAsia="Courier New" w:hAnsi="Courier New"/>
          <w:color w:val="2e7d32"/>
          <w:sz w:val="18"/>
          <w:szCs w:val="18"/>
        </w:rPr>
        <w:t xml:space="preserve"># Detects DNS query for the njRAT command and control domain</w:t>
      </w:r>
    </w:p>
    <w:p>
      <w:pPr>
        <w:pBdr>
          <w:left w:val="single" w:color="2e6da4" w:sz="8"/>
        </w:pBdr>
        <w:shd w:fill="F4F4F4" w:val="clear"/>
        <w:spacing w:after="30" w:before="30"/>
      </w:pPr>
      <w:r>
        <w:rPr>
          <w:rFonts w:ascii="Courier New" w:cs="Courier New" w:eastAsia="Courier New" w:hAnsi="Courier New"/>
          <w:color w:val="2e7d32"/>
          <w:sz w:val="18"/>
          <w:szCs w:val="18"/>
        </w:rPr>
        <w:t xml:space="preserve"># IOC source: strings Unicode analysis of njRAT.exe</w:t>
      </w:r>
    </w:p>
    <w:p>
      <w:pPr>
        <w:pBdr>
          <w:left w:val="single" w:color="2e6da4" w:sz="8"/>
        </w:pBdr>
        <w:shd w:fill="F4F4F4" w:val="clear"/>
        <w:spacing w:after="30" w:before="30"/>
      </w:pPr>
      <w:r>
        <w:rPr>
          <w:rFonts w:ascii="Courier New" w:cs="Courier New" w:eastAsia="Courier New" w:hAnsi="Courier New"/>
          <w:color w:val="2e7d32"/>
          <w:sz w:val="18"/>
          <w:szCs w:val="18"/>
        </w:rPr>
        <w:t xml:space="preserve"># Domain zaaptoo.zapto.org found in Unicode strings pass (-el flag)</w:t>
      </w:r>
    </w:p>
    <w:p>
      <w:pPr>
        <w:pBdr>
          <w:left w:val="single" w:color="2e6da4" w:sz="8"/>
        </w:pBdr>
        <w:shd w:fill="F4F4F4" w:val="clear"/>
        <w:spacing w:after="30" w:before="30"/>
      </w:pPr>
      <w:r>
        <w:rPr>
          <w:rFonts w:ascii="Courier New" w:cs="Courier New" w:eastAsia="Courier New" w:hAnsi="Courier New"/>
          <w:color w:val="2e7d32"/>
          <w:sz w:val="18"/>
          <w:szCs w:val="18"/>
        </w:rPr>
        <w:t xml:space="preserve">alert dns any any -&gt; any any (msg:"NJRAT C2 DNS QUERY DETECTED"; content:"zaaptoo.zapto.org"; sid:100014; rev:1;)</w:t>
      </w:r>
    </w:p>
    <w:p>
      <w:pPr>
        <w:spacing w:after="140"/>
      </w:pPr>
      <w:r>
        <w:rPr>
          <w:rFonts w:ascii="Arial" w:cs="Arial" w:eastAsia="Arial" w:hAnsi="Arial"/>
          <w:color w:val="1a1a1a"/>
          <w:sz w:val="21"/>
          <w:szCs w:val="21"/>
        </w:rPr>
        <w:t xml:space="preserve">Detection logic: Fires on any DNS query containing the njRAT C2 domain. A DNS query for this domain from any internal host is a high-confidence indicator of njRAT infection — there is no legitimate reason to query this domain. This is a tier-1 alert requiring immediate investigation.</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2.5 Host-Based Behaviour Gap — Suricata Cannot Detect</w:t>
      </w:r>
    </w:p>
    <w:p>
      <w:pPr>
        <w:pBdr>
          <w:left w:val="single" w:color="f57f17" w:sz="10"/>
        </w:pBdr>
        <w:shd w:fill="fff8e1" w:val="clear"/>
        <w:spacing w:after="140" w:before="80"/>
      </w:pPr>
      <w:r>
        <w:rPr>
          <w:rFonts w:ascii="Arial" w:cs="Arial" w:eastAsia="Arial" w:hAnsi="Arial"/>
          <w:b/>
          <w:bCs/>
          <w:color w:val="e65100"/>
          <w:sz w:val="21"/>
          <w:szCs w:val="21"/>
        </w:rPr>
        <w:t xml:space="preserve">Detection Engineering Note: </w:t>
      </w:r>
      <w:r>
        <w:rPr>
          <w:rFonts w:ascii="Arial" w:cs="Arial" w:eastAsia="Arial" w:hAnsi="Arial"/>
          <w:color w:val="5d4037"/>
          <w:sz w:val="21"/>
          <w:szCs w:val="21"/>
        </w:rPr>
        <w:t xml:space="preserve">The following behaviours observed in the sandbox cannot be detected at the network layer and require Wazuh host-based rules: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Behaviour</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Why Suricata cannot detect it</w:t>
            </w:r>
          </w:p>
        </w:tc>
        <w:tc>
          <w:tcPr>
            <w:tcW w:type="dxa" w:w="4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Correct detection layer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Registry Run key write (njRAT persistence)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Registry operations do not generate network traffic</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syscheck registry monitoring + Rule 100012</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GetKeyState keylogging (njRAT)</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 calls are local — no network packet generated</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process monitoring or Sysmon Event ID 10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CreateRemoteThread injection (Dexter)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Memory injection has no network footprint</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with Sysmon Event ID 8 (CreateRemoteThread)</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Self-deletion: cmd.exe /c ping 127.0.0.1 &amp; del</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deletion is a local file operation</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command-line monitoring Rule 100011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TripleDES encrypted C2 content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Payload is encrypted — packet content not inspectable</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Detect by destination (IP/domain) not content</w:t>
            </w:r>
          </w:p>
        </w:tc>
      </w:tr>
    </w:tbl>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3. Wazuh Custom Rules</w:t>
      </w:r>
    </w:p>
    <w:p>
      <w:pPr>
        <w:spacing w:after="140"/>
      </w:pPr>
      <w:r>
        <w:rPr>
          <w:rFonts w:ascii="Arial" w:cs="Arial" w:eastAsia="Arial" w:hAnsi="Arial"/>
          <w:color w:val="1a1a1a"/>
          <w:sz w:val="21"/>
          <w:szCs w:val="21"/>
        </w:rPr>
        <w:t xml:space="preserve">Four custom Wazuh rules were added to /var/ossec/etc/rules/local_rules.xml on the Ubuntu Manager. Each rule is mapped to a MITRE ATT&amp;CK technique and derived from a specific behaviour observed in dynamic analysis.</w:t>
      </w:r>
    </w:p>
    <w:p>
      <w:pPr>
        <w:spacing w:after="80"/>
      </w:pPr>
      <w:r>
        <w:rPr>
          <w:rFonts w:ascii="Arial" w:cs="Arial" w:eastAsia="Arial" w:hAnsi="Arial"/>
          <w:color w:val="1a1a1a"/>
          <w:sz w:val="21"/>
          <w:szCs w:val="21"/>
        </w:rPr>
        <w:t xml:space="preserve"/>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 id="100011" level="10"&gt;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&lt;match&gt;cmd.exe&lt;/match&gt;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&lt;description&gt;CUSTOM: Suspicious cmd.exe execution — possible njRAT self-deletion or command execution&lt;/description&gt;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&lt;group&gt;malware,execution,custom&lt;/group&gt;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&lt;mitre&gt;&lt;id&gt;T1059.003&lt;/id&gt;&lt;/mitre&gt;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&lt;/rule&gt;</w:t>
      </w:r>
    </w:p>
    <w:p>
      <w:pPr>
        <w:spacing w:after="40"/>
      </w:pPr>
      <w:r>
        <w:rPr>
          <w:rFonts w:ascii="Arial" w:cs="Arial" w:eastAsia="Arial" w:hAnsi="Arial"/>
          <w:color w:val="1a1a1a"/>
          <w:sz w:val="21"/>
          <w:szCs w:val="21"/>
        </w:rPr>
        <w:t xml:space="preserve"/>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 id="100012" level="12"&gt;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&lt;match&gt;CurrentVersion\Run&lt;/match&gt;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&lt;description&gt;CUSTOM: Registry Run key write detected — persistence mechanism (njRAT T1547)&lt;/description&gt;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&lt;group&gt;malware,persistence,custom&lt;/group&gt;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&lt;mitre&gt;&lt;id&gt;T1547.001&lt;/id&gt;&lt;/mitre&gt;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&lt;/rule&gt;</w:t>
      </w:r>
    </w:p>
    <w:p>
      <w:pPr>
        <w:spacing w:after="40"/>
      </w:pPr>
      <w:r>
        <w:rPr>
          <w:rFonts w:ascii="Arial" w:cs="Arial" w:eastAsia="Arial" w:hAnsi="Arial"/>
          <w:color w:val="1a1a1a"/>
          <w:sz w:val="21"/>
          <w:szCs w:val="21"/>
        </w:rPr>
        <w:t xml:space="preserve"/>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 id="100013" level="12"&gt;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&lt;match&gt;GetKeyState&lt;/match&gt;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&lt;description&gt;CUSTOM: Keylogging API detected — GetKeyState indicates active keylogger (njRAT)&lt;/description&gt;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&lt;group&gt;malware,collection,custom&lt;/group&gt;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&lt;mitre&gt;&lt;id&gt;T1056.001&lt;/id&gt;&lt;/mitre&gt;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&lt;/rule&gt;</w:t>
      </w:r>
    </w:p>
    <w:p>
      <w:pPr>
        <w:spacing w:after="40"/>
      </w:pPr>
      <w:r>
        <w:rPr>
          <w:rFonts w:ascii="Arial" w:cs="Arial" w:eastAsia="Arial" w:hAnsi="Arial"/>
          <w:color w:val="1a1a1a"/>
          <w:sz w:val="21"/>
          <w:szCs w:val="21"/>
        </w:rPr>
        <w:t xml:space="preserve"/>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 id="100014" level="12"&gt;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&lt;match&gt;CreateRemoteThread&lt;/match&gt;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&lt;description&gt;CUSTOM: CreateRemoteThread detected — process injection attempt (Dexter T1055)&lt;/description&gt;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&lt;group&gt;malware,injection,custom&lt;/group&gt;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&lt;mitre&gt;&lt;id&gt;T1055&lt;/id&gt;&lt;/mitre&gt;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&lt;/rule&gt;</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3.1 Rule Testing and Limitations</w:t>
      </w:r>
    </w:p>
    <w:p>
      <w:pPr>
        <w:spacing w:after="140"/>
      </w:pPr>
      <w:r>
        <w:rPr>
          <w:rFonts w:ascii="Arial" w:cs="Arial" w:eastAsia="Arial" w:hAnsi="Arial"/>
          <w:color w:val="1a1a1a"/>
          <w:sz w:val="21"/>
          <w:szCs w:val="21"/>
        </w:rPr>
        <w:t xml:space="preserve">Each rule was tested by attempting to simulate the relevant behaviour on the Windows agent:</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Rule</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Test performed</w:t>
            </w:r>
          </w:p>
        </w:tc>
        <w:tc>
          <w:tcPr>
            <w:tcW w:type="dxa" w:w="44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Result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100011 — cmd.exe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Ran cmd.exe manually on Windows agent</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Did not trigger — agent telemetry insufficient without Sysmon</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100012 — Registry Run</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Created test registry value at CurrentVersion\Run path</w:t>
            </w:r>
          </w:p>
        </w:tc>
        <w:tc>
          <w:tcPr>
            <w:tcW w:type="dxa" w:w="4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Did not trigger — registry path not in Wazuh syscheck config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100013 — GetKeyState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Could not safely simulate API call without executing malware</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Not tested</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100014 — RemoteThread</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Could not safely simulate without executing malware</w:t>
            </w:r>
          </w:p>
        </w:tc>
        <w:tc>
          <w:tcPr>
            <w:tcW w:type="dxa" w:w="4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Not tested</w:t>
            </w:r>
          </w:p>
        </w:tc>
      </w:tr>
    </w:tbl>
    <w:p>
      <w:pPr>
        <w:spacing w:after="60"/>
      </w:pPr>
      <w:r>
        <w:rPr>
          <w:rFonts w:ascii="Arial" w:cs="Arial" w:eastAsia="Arial" w:hAnsi="Arial"/>
          <w:color w:val="1a1a1a"/>
          <w:sz w:val="21"/>
          <w:szCs w:val="21"/>
        </w:rPr>
        <w:t xml:space="preserve"/>
      </w:r>
    </w:p>
    <w:p>
      <w:pPr>
        <w:pBdr>
          <w:left w:val="single" w:color="c62828" w:sz="10"/>
        </w:pBdr>
        <w:shd w:fill="ffebee" w:val="clear"/>
        <w:spacing w:after="140" w:before="80"/>
      </w:pPr>
      <w:r>
        <w:rPr>
          <w:rFonts w:ascii="Arial" w:cs="Arial" w:eastAsia="Arial" w:hAnsi="Arial"/>
          <w:b/>
          <w:bCs/>
          <w:color w:val="c62828"/>
          <w:sz w:val="21"/>
          <w:szCs w:val="21"/>
        </w:rPr>
        <w:t xml:space="preserve">CRITICAL: </w:t>
      </w:r>
      <w:r>
        <w:rPr>
          <w:rFonts w:ascii="Arial" w:cs="Arial" w:eastAsia="Arial" w:hAnsi="Arial"/>
          <w:color w:val="7f0000"/>
          <w:sz w:val="21"/>
          <w:szCs w:val="21"/>
        </w:rPr>
        <w:t xml:space="preserve">None of the four Wazuh rules triggered during simulation testing. Root cause: (1) The Windows agent's registry monitoring does not include HKCU\Software\Microsoft\Windows\CurrentVersion\Run in syscheck config. (2) Sysmon is not installed — without Sysmon, process creation and API call events do not reach Wazuh. Both are configuration gaps, not rule errors.</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3.2 Required Configuration to Make Rules Fire</w:t>
      </w:r>
    </w:p>
    <w:p>
      <w:pPr>
        <w:spacing w:after="140"/>
      </w:pPr>
      <w:r>
        <w:rPr>
          <w:rFonts w:ascii="Arial" w:cs="Arial" w:eastAsia="Arial" w:hAnsi="Arial"/>
          <w:color w:val="1a1a1a"/>
          <w:sz w:val="21"/>
          <w:szCs w:val="21"/>
        </w:rPr>
        <w:t xml:space="preserve">To make Rules 100011 and 100012 functional, the following changes are needed on the Windows agent ossec.conf:</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&lt;syscheck&gt;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&lt;windows_registry&gt;HKEY_CURRENT_USER\Software\Microsoft\Windows\CurrentVersion\Run&lt;/windows_registry&gt;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&lt;/syscheck&gt;</w:t>
      </w:r>
    </w:p>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For Rules 100013 and 100014, Sysmon must be installed on the Windows endpoint and its event log added to the Wazuh agent localfile config:</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&lt;localfile&gt;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&lt;log_format&gt;eventchannel&lt;/log_format&gt;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&lt;location&gt;Microsoft-Windows-Sysmon/Operational&lt;/location&gt;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&lt;/localfile&gt;</w:t>
      </w:r>
    </w:p>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4. PCAP Limitation — Impact on Signature Validation</w:t>
      </w:r>
    </w:p>
    <w:p>
      <w:pPr>
        <w:spacing w:after="140"/>
      </w:pPr>
      <w:r>
        <w:rPr>
          <w:rFonts w:ascii="Arial" w:cs="Arial" w:eastAsia="Arial" w:hAnsi="Arial"/>
          <w:color w:val="1a1a1a"/>
          <w:sz w:val="21"/>
          <w:szCs w:val="21"/>
        </w:rPr>
        <w:t xml:space="preserve">The standard approach for testing Suricata signatures from sandbox analysis is to replay the downloaded PCAP through Suricata in offline mode:</w:t>
      </w:r>
    </w:p>
    <w:p>
      <w:pPr>
        <w:pBdr>
          <w:left w:val="single" w:color="2e6da4" w:sz="8"/>
        </w:pBdr>
        <w:shd w:fill="F4F4F4" w:val="clear"/>
        <w:spacing w:after="30" w:before="30"/>
      </w:pPr>
      <w:r>
        <w:rPr>
          <w:rFonts w:ascii="Courier New" w:cs="Courier New" w:eastAsia="Courier New" w:hAnsi="Courier New"/>
          <w:color w:val="2e7d32"/>
          <w:sz w:val="18"/>
          <w:szCs w:val="18"/>
        </w:rPr>
        <w:t xml:space="preserve">sudo suricata -r sample.pcap -l /tmp/suricata_output/</w:t>
      </w:r>
    </w:p>
    <w:p>
      <w:pPr>
        <w:spacing w:after="140"/>
      </w:pPr>
      <w:r>
        <w:rPr>
          <w:rFonts w:ascii="Arial" w:cs="Arial" w:eastAsia="Arial" w:hAnsi="Arial"/>
          <w:color w:val="1a1a1a"/>
          <w:sz w:val="21"/>
          <w:szCs w:val="21"/>
        </w:rPr>
        <w:t xml:space="preserve">This approach was not possible this week because Hybrid Analysis (free tier) does not provide PCAP downloads. As a result, the four Suricata custom rules were validated conceptually — the rule logic was verified against the known IOC values from static analysis, but live packet matching was not confirmed.</w:t>
      </w:r>
    </w:p>
    <w:p>
      <w:pPr>
        <w:spacing w:after="140"/>
      </w:pPr>
      <w:r>
        <w:rPr>
          <w:rFonts w:ascii="Arial" w:cs="Arial" w:eastAsia="Arial" w:hAnsi="Arial"/>
          <w:color w:val="1a1a1a"/>
          <w:sz w:val="21"/>
          <w:szCs w:val="21"/>
        </w:rPr>
        <w:t xml:space="preserve">In a production environment or with a premium sandbox account providing PCAP export, the validation process would be:</w:t>
      </w:r>
    </w:p>
    <w:p>
      <w:pPr>
        <w:pStyle w:val="ListParagraph"/>
        <w:numPr>
          <w:ilvl w:val="0"/>
          <w:numId w:val="2"/>
        </w:numPr>
        <w:spacing w:after="100"/>
      </w:pPr>
      <w:r>
        <w:rPr>
          <w:rFonts w:ascii="Arial" w:cs="Arial" w:eastAsia="Arial" w:hAnsi="Arial"/>
          <w:color w:val="1a1a1a"/>
          <w:sz w:val="21"/>
          <w:szCs w:val="21"/>
        </w:rPr>
        <w:t xml:space="preserve">Download PCAP from sandbox after each session.</w:t>
      </w:r>
    </w:p>
    <w:p>
      <w:pPr>
        <w:pStyle w:val="ListParagraph"/>
        <w:numPr>
          <w:ilvl w:val="0"/>
          <w:numId w:val="2"/>
        </w:numPr>
        <w:spacing w:after="100"/>
      </w:pPr>
      <w:r>
        <w:rPr>
          <w:rFonts w:ascii="Arial" w:cs="Arial" w:eastAsia="Arial" w:hAnsi="Arial"/>
          <w:color w:val="1a1a1a"/>
          <w:sz w:val="21"/>
          <w:szCs w:val="21"/>
        </w:rPr>
        <w:t xml:space="preserve">Replay PCAP through Suricata: sudo suricata -r sample.pcap -l /tmp/output/</w:t>
      </w:r>
    </w:p>
    <w:p>
      <w:pPr>
        <w:pStyle w:val="ListParagraph"/>
        <w:numPr>
          <w:ilvl w:val="0"/>
          <w:numId w:val="2"/>
        </w:numPr>
        <w:spacing w:after="100"/>
      </w:pPr>
      <w:r>
        <w:rPr>
          <w:rFonts w:ascii="Arial" w:cs="Arial" w:eastAsia="Arial" w:hAnsi="Arial"/>
          <w:color w:val="1a1a1a"/>
          <w:sz w:val="21"/>
          <w:szCs w:val="21"/>
        </w:rPr>
        <w:t xml:space="preserve">Check fast.log for rule hits.</w:t>
      </w:r>
    </w:p>
    <w:p>
      <w:pPr>
        <w:pStyle w:val="ListParagraph"/>
        <w:numPr>
          <w:ilvl w:val="0"/>
          <w:numId w:val="2"/>
        </w:numPr>
        <w:spacing w:after="100"/>
      </w:pPr>
      <w:r>
        <w:rPr>
          <w:rFonts w:ascii="Arial" w:cs="Arial" w:eastAsia="Arial" w:hAnsi="Arial"/>
          <w:color w:val="1a1a1a"/>
          <w:sz w:val="21"/>
          <w:szCs w:val="21"/>
        </w:rPr>
        <w:t xml:space="preserve">If rule does not fire — open PCAP in Wireshark, inspect actual packet bytes, compare against rule content string.</w:t>
      </w:r>
    </w:p>
    <w:p>
      <w:pPr>
        <w:pStyle w:val="ListParagraph"/>
        <w:numPr>
          <w:ilvl w:val="0"/>
          <w:numId w:val="2"/>
        </w:numPr>
        <w:spacing w:after="100"/>
      </w:pPr>
      <w:r>
        <w:rPr>
          <w:rFonts w:ascii="Arial" w:cs="Arial" w:eastAsia="Arial" w:hAnsi="Arial"/>
          <w:color w:val="1a1a1a"/>
          <w:sz w:val="21"/>
          <w:szCs w:val="21"/>
        </w:rPr>
        <w:t xml:space="preserve">Adjust rule content to match actual bytes, replay, confirm hit.</w:t>
      </w:r>
    </w:p>
    <w:p>
      <w:pPr>
        <w:pStyle w:val="ListParagraph"/>
        <w:numPr>
          <w:ilvl w:val="0"/>
          <w:numId w:val="2"/>
        </w:numPr>
        <w:spacing w:after="100"/>
      </w:pPr>
      <w:r>
        <w:rPr>
          <w:rFonts w:ascii="Arial" w:cs="Arial" w:eastAsia="Arial" w:hAnsi="Arial"/>
          <w:color w:val="1a1a1a"/>
          <w:sz w:val="21"/>
          <w:szCs w:val="21"/>
        </w:rPr>
        <w:t xml:space="preserve">Document what was adjusted and why.</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2026-04-04T07:51:40.221Z</dcterms:created>
  <dcterms:modified xsi:type="dcterms:W3CDTF">2026-04-04T07:51:40.221Z</dcterms:modified>
</cp:coreProperties>
</file>

<file path=docProps/custom.xml><?xml version="1.0" encoding="utf-8"?>
<Properties xmlns="http://schemas.openxmlformats.org/officeDocument/2006/custom-properties" xmlns:vt="http://schemas.openxmlformats.org/officeDocument/2006/docPropsVTypes"/>
</file>