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5 — Days 34 &amp; 35</w:t>
      </w:r>
    </w:p>
    <w:p>
      <w:pPr>
        <w:spacing w:after="80"/>
        <w:jc w:val="center"/>
      </w:pPr>
      <w:r>
        <w:rPr>
          <w:rFonts w:ascii="Arial" w:cs="Arial" w:eastAsia="Arial" w:hAnsi="Arial"/>
          <w:b/>
          <w:bCs/>
          <w:color w:val="1a1a2e"/>
          <w:sz w:val="30"/>
          <w:szCs w:val="30"/>
        </w:rPr>
        <w:t xml:space="preserve">Incident Response Plan</w:t>
      </w:r>
    </w:p>
    <w:p>
      <w:pPr>
        <w:pBdr>
          <w:bottom w:val="single" w:color="2e6da4" w:sz="6"/>
        </w:pBdr>
        <w:spacing w:after="400"/>
        <w:jc w:val="center"/>
      </w:pPr>
      <w:r>
        <w:rPr>
          <w:rFonts w:ascii="Arial" w:cs="Arial" w:eastAsia="Arial" w:hAnsi="Arial"/>
          <w:color w:val="555555"/>
          <w:sz w:val="19"/>
          <w:szCs w:val="19"/>
        </w:rPr>
        <w:t xml:space="preserve">NIST SP 800-61 Structured  |  Based on njRAT RAT Analysis</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5, Days 34 and 35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IR Scenario</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endpoint infection with njRAT Remote Access Trojan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Sample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njRAT v0.6.4.0 — .NET PE32 RAT — Author: njq8</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8a0675001b5bc63d8389fc7ed80b4a7b0f9538c744350f00162533519e106426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ecc7c8c51c0850c1ec247c7fd3602f20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Domain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zaaptoo.zapto.org</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Framework</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NIST SP 800-61 Rev.2 — Computer Security Incident Handling Guide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April 2026</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Incident Overview</w:t>
      </w:r>
    </w:p>
    <w:p>
      <w:pPr>
        <w:spacing w:after="140"/>
      </w:pPr>
      <w:r>
        <w:rPr>
          <w:rFonts w:ascii="Arial" w:cs="Arial" w:eastAsia="Arial" w:hAnsi="Arial"/>
          <w:color w:val="1a1a1a"/>
          <w:sz w:val="21"/>
          <w:szCs w:val="21"/>
        </w:rPr>
        <w:t xml:space="preserve">This Incident Response Plan covers the detection, containment, eradication, and recovery process for a Windows endpoint infected with njRAT — a widely deployed Remote Access Trojan written in .NET that provides an attacker with full remote control of an infected machine. njRAT is capable of keylogging, remote desktop access, file management, process management, credential theft, webcam access, and command shell execution. It communicates with a hardcoded command-and-control domain using a custom TCP-based protocol.</w:t>
      </w:r>
    </w:p>
    <w:p>
      <w:pPr>
        <w:spacing w:after="140"/>
      </w:pPr>
      <w:r>
        <w:rPr>
          <w:rFonts w:ascii="Arial" w:cs="Arial" w:eastAsia="Arial" w:hAnsi="Arial"/>
          <w:color w:val="1a1a1a"/>
          <w:sz w:val="21"/>
          <w:szCs w:val="21"/>
        </w:rPr>
        <w:t xml:space="preserve">This plan is derived from firsthand analysis of the njRAT sample conducted during Week 5, including static analysis using file, exiftool, binwalk, and strings tools, and dynamic analysis via the Hybrid Analysis sandbox platform. Every indicator and behaviour described in this plan was observed or confirmed through that analysis. This is not a generic template — it is a plan specific to this threat.</w:t>
      </w:r>
    </w:p>
    <w:p>
      <w:pPr>
        <w:spacing w:after="12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Threat category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Remote Access Trojan (RAT)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Malware family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njRAT / Bladabindi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Version confirmed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0.6.4.0 (from exiftool metadata)</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Author attribution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njq8 (Twitter handle found in strings)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32-bit .NET PE executable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protocol</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TCP over configurable 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domain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zaaptoo.zapto.org</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 mechanism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HKCU\Software\Microsoft\Windows\CurrentVersion\Run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Self-deletion command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cmd.exe /c ping 127.0.0.1 &amp; del [installer path]</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 evasion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netsh firewall delete allowedprogram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Encryption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TripleDES for C2 communication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Encoding</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Base64 for payload transport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MITRE techniques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T1056.001, T1057, T1018, T1082, T1027, T1070.006</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Phase 1 — Preparation</w:t>
      </w:r>
    </w:p>
    <w:p>
      <w:pPr>
        <w:spacing w:after="140"/>
      </w:pPr>
      <w:r>
        <w:rPr>
          <w:rFonts w:ascii="Arial" w:cs="Arial" w:eastAsia="Arial" w:hAnsi="Arial"/>
          <w:color w:val="1a1a1a"/>
          <w:sz w:val="21"/>
          <w:szCs w:val="21"/>
        </w:rPr>
        <w:t xml:space="preserve">Preparation covers the tools, access levels, personnel roles, and pre-positioned detection capability required to respond to an njRAT infection. The goal of preparation is to ensure that when an alert fires, the responding analyst has everything needed to act without delay.</w:t>
      </w:r>
    </w:p>
    <w:p>
      <w:pPr>
        <w:pStyle w:val="Heading2"/>
        <w:spacing w:after="120" w:before="220"/>
      </w:pPr>
      <w:r>
        <w:rPr>
          <w:rFonts w:ascii="Arial" w:cs="Arial" w:eastAsia="Arial" w:hAnsi="Arial"/>
          <w:b/>
          <w:bCs/>
          <w:color w:val="2e6da4"/>
          <w:sz w:val="23"/>
          <w:szCs w:val="23"/>
        </w:rPr>
        <w:t xml:space="preserve">1.1 Pre-Positioned Detection Capability</w:t>
      </w:r>
    </w:p>
    <w:p>
      <w:pPr>
        <w:spacing w:after="140"/>
      </w:pPr>
      <w:r>
        <w:rPr>
          <w:rFonts w:ascii="Arial" w:cs="Arial" w:eastAsia="Arial" w:hAnsi="Arial"/>
          <w:color w:val="1a1a1a"/>
          <w:sz w:val="21"/>
          <w:szCs w:val="21"/>
        </w:rPr>
        <w:t xml:space="preserve">The following detection rules were written during Week 5 and are pre-positioned in the lab environment. These are the rules that would surface an njRAT infection in a production environment:</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Detection Layer</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Rule/Signature</w:t>
            </w:r>
          </w:p>
        </w:tc>
        <w:tc>
          <w:tcPr>
            <w:tcW w:type="dxa" w:w="4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What it detects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Suricata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SID 100014 — DNS query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DNS lookup for zaaptoo.zapto.org — C2 beacon</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Suricata</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SID 100011 — C2 IP</w:t>
            </w:r>
          </w:p>
        </w:tc>
        <w:tc>
          <w:tcPr>
            <w:tcW w:type="dxa" w:w="4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Any connection to 151.248.115.107 (Dexter C2)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Suricata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SID 100012 — HTTP POST</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/gateway.php endpoint — exfiltration traffic</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Suricata</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SID 100013 — User-Agent</w:t>
            </w:r>
          </w:p>
        </w:tc>
        <w:tc>
          <w:tcPr>
            <w:tcW w:type="dxa" w:w="4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Mozilla/4.0 header — anomalous legacy agent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100011 — cmd.exe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Suspicious command execution pattern</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100012 — Registry</w:t>
            </w:r>
          </w:p>
        </w:tc>
        <w:tc>
          <w:tcPr>
            <w:tcW w:type="dxa" w:w="4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Write to CurrentVersion\Run — persistence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100013 — GetKeyState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Keylogging API call pattern</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100014 — RemoteThread</w:t>
            </w:r>
          </w:p>
        </w:tc>
        <w:tc>
          <w:tcPr>
            <w:tcW w:type="dxa" w:w="4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CreateRemoteThread — process injection</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1.2 Required Tools and Access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Tool/Access</w:t>
            </w:r>
          </w:p>
        </w:tc>
        <w:tc>
          <w:tcPr>
            <w:tcW w:type="dxa" w:w="6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dashboard access</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Primary alert console — Security Events, Threat Hunting, MITRE ATT&amp;CK module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FortiGate web interface</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 rule management — blocking C2 IP and domain at perimeter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Linux with Suricata</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Network detection — PCAP capture, custom signature testing, traffic replay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endpoint access</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 investigation — registry inspection, process listing, file system review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Sysinternals Suite (Autoruns, Process Explorer, TCPView)</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On-endpoint forensic investigation tools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 / Hybrid Analysis</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hash lookup and sandbox confirmation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strings, exiftool, binwalk</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analysis of any dropped files recovered during investigation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Wireshark</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PCAP analysis of captured traffic from the infected endpoint</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1.3 Personnel Roles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68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Tier 1 Analyst</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Receives alert, performs initial triage, escalates if confirmed malicious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Tier 2 Analyst</w:t>
            </w:r>
          </w:p>
        </w:tc>
        <w:tc>
          <w:tcPr>
            <w:tcW w:type="dxa" w:w="6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Leads investigation — IOC correlation, scope determination, containment decision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Detection Engineer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Updates Suricata signatures and Wazuh rules post-incident</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 Administrator</w:t>
            </w:r>
          </w:p>
        </w:tc>
        <w:tc>
          <w:tcPr>
            <w:tcW w:type="dxa" w:w="6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Executes containment actions on affected endpoints on analyst instruction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Team Lead / Incident Manager</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Authorises isolation decisions, manages communication, oversees timeline</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1.4 Analyst Notification Process</w:t>
      </w:r>
    </w:p>
    <w:p>
      <w:pPr>
        <w:pStyle w:val="ListParagraph"/>
        <w:numPr>
          <w:ilvl w:val="0"/>
          <w:numId w:val="2"/>
        </w:numPr>
        <w:spacing w:after="100"/>
      </w:pPr>
      <w:r>
        <w:rPr>
          <w:rFonts w:ascii="Arial" w:cs="Arial" w:eastAsia="Arial" w:hAnsi="Arial"/>
          <w:color w:val="1a1a1a"/>
          <w:sz w:val="21"/>
          <w:szCs w:val="21"/>
        </w:rPr>
        <w:t xml:space="preserve">Wazuh generates a Level 10+ alert — analyst receives notification via dashboard or configured alert channel.</w:t>
      </w:r>
    </w:p>
    <w:p>
      <w:pPr>
        <w:pStyle w:val="ListParagraph"/>
        <w:numPr>
          <w:ilvl w:val="0"/>
          <w:numId w:val="2"/>
        </w:numPr>
        <w:spacing w:after="100"/>
      </w:pPr>
      <w:r>
        <w:rPr>
          <w:rFonts w:ascii="Arial" w:cs="Arial" w:eastAsia="Arial" w:hAnsi="Arial"/>
          <w:color w:val="1a1a1a"/>
          <w:sz w:val="21"/>
          <w:szCs w:val="21"/>
        </w:rPr>
        <w:t xml:space="preserve">First action: open the alert detail panel — record rule ID, agent name, timestamp, and raw event data.</w:t>
      </w:r>
    </w:p>
    <w:p>
      <w:pPr>
        <w:pStyle w:val="ListParagraph"/>
        <w:numPr>
          <w:ilvl w:val="0"/>
          <w:numId w:val="2"/>
        </w:numPr>
        <w:spacing w:after="100"/>
      </w:pPr>
      <w:r>
        <w:rPr>
          <w:rFonts w:ascii="Arial" w:cs="Arial" w:eastAsia="Arial" w:hAnsi="Arial"/>
          <w:color w:val="1a1a1a"/>
          <w:sz w:val="21"/>
          <w:szCs w:val="21"/>
        </w:rPr>
        <w:t xml:space="preserve">Do not dismiss or acknowledge the alert until triage is complete.</w:t>
      </w:r>
    </w:p>
    <w:p>
      <w:pPr>
        <w:pStyle w:val="ListParagraph"/>
        <w:numPr>
          <w:ilvl w:val="0"/>
          <w:numId w:val="2"/>
        </w:numPr>
        <w:spacing w:after="100"/>
      </w:pPr>
      <w:r>
        <w:rPr>
          <w:rFonts w:ascii="Arial" w:cs="Arial" w:eastAsia="Arial" w:hAnsi="Arial"/>
          <w:color w:val="1a1a1a"/>
          <w:sz w:val="21"/>
          <w:szCs w:val="21"/>
        </w:rPr>
        <w:t xml:space="preserve">If rule.id matches 100011–100014 or Suricata group fires on zaaptoo.zapto.org — treat as high priority and begin Phase 2 immediately.</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Phase 2 — Detection and Analysis</w:t>
      </w:r>
    </w:p>
    <w:p>
      <w:pPr>
        <w:pStyle w:val="Heading2"/>
        <w:spacing w:after="120" w:before="220"/>
      </w:pPr>
      <w:r>
        <w:rPr>
          <w:rFonts w:ascii="Arial" w:cs="Arial" w:eastAsia="Arial" w:hAnsi="Arial"/>
          <w:b/>
          <w:bCs/>
          <w:color w:val="2e6da4"/>
          <w:sz w:val="23"/>
          <w:szCs w:val="23"/>
        </w:rPr>
        <w:t xml:space="preserve">2.1 How This Infection Would Be Detected</w:t>
      </w:r>
    </w:p>
    <w:p>
      <w:pPr>
        <w:spacing w:after="140"/>
      </w:pPr>
      <w:r>
        <w:rPr>
          <w:rFonts w:ascii="Arial" w:cs="Arial" w:eastAsia="Arial" w:hAnsi="Arial"/>
          <w:color w:val="1a1a1a"/>
          <w:sz w:val="21"/>
          <w:szCs w:val="21"/>
        </w:rPr>
        <w:t xml:space="preserve">In a production environment with the pre-positioned detections in place, an njRAT infection would surface through one or more of the following alert sequences, in order of likelihood:</w:t>
      </w:r>
    </w:p>
    <w:p>
      <w:pPr>
        <w:spacing w:after="80" w:before="160"/>
      </w:pPr>
      <w:r>
        <w:rPr>
          <w:rFonts w:ascii="Arial" w:cs="Arial" w:eastAsia="Arial" w:hAnsi="Arial"/>
          <w:b/>
          <w:bCs/>
          <w:color w:val="00695c"/>
          <w:sz w:val="21"/>
          <w:szCs w:val="21"/>
        </w:rPr>
        <w:t xml:space="preserve">Sequence A — Network Detection First (most likely)</w:t>
      </w:r>
    </w:p>
    <w:p>
      <w:pPr>
        <w:pStyle w:val="ListParagraph"/>
        <w:numPr>
          <w:ilvl w:val="0"/>
          <w:numId w:val="2"/>
        </w:numPr>
        <w:spacing w:after="100"/>
      </w:pPr>
      <w:r>
        <w:rPr>
          <w:rFonts w:ascii="Arial" w:cs="Arial" w:eastAsia="Arial" w:hAnsi="Arial"/>
          <w:color w:val="1a1a1a"/>
          <w:sz w:val="21"/>
          <w:szCs w:val="21"/>
        </w:rPr>
        <w:t xml:space="preserve">Suricata SID 100014 fires: DNS query observed for zaaptoo.zapto.org from an internal host.</w:t>
      </w:r>
    </w:p>
    <w:p>
      <w:pPr>
        <w:pStyle w:val="ListParagraph"/>
        <w:numPr>
          <w:ilvl w:val="0"/>
          <w:numId w:val="2"/>
        </w:numPr>
        <w:spacing w:after="100"/>
      </w:pPr>
      <w:r>
        <w:rPr>
          <w:rFonts w:ascii="Arial" w:cs="Arial" w:eastAsia="Arial" w:hAnsi="Arial"/>
          <w:color w:val="1a1a1a"/>
          <w:sz w:val="21"/>
          <w:szCs w:val="21"/>
        </w:rPr>
        <w:t xml:space="preserve">Within seconds, a TCP connection alert fires showing the same host connecting outbound on the njRAT C2 port.</w:t>
      </w:r>
    </w:p>
    <w:p>
      <w:pPr>
        <w:pStyle w:val="ListParagraph"/>
        <w:numPr>
          <w:ilvl w:val="0"/>
          <w:numId w:val="2"/>
        </w:numPr>
        <w:spacing w:after="100"/>
      </w:pPr>
      <w:r>
        <w:rPr>
          <w:rFonts w:ascii="Arial" w:cs="Arial" w:eastAsia="Arial" w:hAnsi="Arial"/>
          <w:color w:val="1a1a1a"/>
          <w:sz w:val="21"/>
          <w:szCs w:val="21"/>
        </w:rPr>
        <w:t xml:space="preserve">Analyst queries Threat Hunting in Wazuh: agent.name: [affected host] AND rule.groups: suricata — sees both the DNS and connection alerts within the same 2-minute window.</w:t>
      </w:r>
    </w:p>
    <w:p>
      <w:pPr>
        <w:pStyle w:val="ListParagraph"/>
        <w:numPr>
          <w:ilvl w:val="0"/>
          <w:numId w:val="2"/>
        </w:numPr>
        <w:spacing w:after="100"/>
      </w:pPr>
      <w:r>
        <w:rPr>
          <w:rFonts w:ascii="Arial" w:cs="Arial" w:eastAsia="Arial" w:hAnsi="Arial"/>
          <w:color w:val="1a1a1a"/>
          <w:sz w:val="21"/>
          <w:szCs w:val="21"/>
        </w:rPr>
        <w:t xml:space="preserve">Confirmed active C2 communication — escalate to Tier 2 immediately.</w:t>
      </w:r>
    </w:p>
    <w:p>
      <w:pPr>
        <w:spacing w:after="8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Sequence B — Host Detection First</w:t>
      </w:r>
    </w:p>
    <w:p>
      <w:pPr>
        <w:pStyle w:val="ListParagraph"/>
        <w:numPr>
          <w:ilvl w:val="0"/>
          <w:numId w:val="2"/>
        </w:numPr>
        <w:spacing w:after="100"/>
      </w:pPr>
      <w:r>
        <w:rPr>
          <w:rFonts w:ascii="Arial" w:cs="Arial" w:eastAsia="Arial" w:hAnsi="Arial"/>
          <w:color w:val="1a1a1a"/>
          <w:sz w:val="21"/>
          <w:szCs w:val="21"/>
        </w:rPr>
        <w:t xml:space="preserve">Wazuh Rule 100012 fires: write to HKCU\Software\Microsoft\Windows\CurrentVersion\Run detected on Windows agent.</w:t>
      </w:r>
    </w:p>
    <w:p>
      <w:pPr>
        <w:pStyle w:val="ListParagraph"/>
        <w:numPr>
          <w:ilvl w:val="0"/>
          <w:numId w:val="2"/>
        </w:numPr>
        <w:spacing w:after="100"/>
      </w:pPr>
      <w:r>
        <w:rPr>
          <w:rFonts w:ascii="Arial" w:cs="Arial" w:eastAsia="Arial" w:hAnsi="Arial"/>
          <w:color w:val="1a1a1a"/>
          <w:sz w:val="21"/>
          <w:szCs w:val="21"/>
        </w:rPr>
        <w:t xml:space="preserve">Analyst queries Wazuh: agent.name: [host] AND rule.id: 100012 — sees the registry write with the value name and data.</w:t>
      </w:r>
    </w:p>
    <w:p>
      <w:pPr>
        <w:pStyle w:val="ListParagraph"/>
        <w:numPr>
          <w:ilvl w:val="0"/>
          <w:numId w:val="2"/>
        </w:numPr>
        <w:spacing w:after="100"/>
      </w:pPr>
      <w:r>
        <w:rPr>
          <w:rFonts w:ascii="Arial" w:cs="Arial" w:eastAsia="Arial" w:hAnsi="Arial"/>
          <w:color w:val="1a1a1a"/>
          <w:sz w:val="21"/>
          <w:szCs w:val="21"/>
        </w:rPr>
        <w:t xml:space="preserve">Analyst checks the value data — it points to a file in AppData\Roaming or Temp with a non-standard name.</w:t>
      </w:r>
    </w:p>
    <w:p>
      <w:pPr>
        <w:pStyle w:val="ListParagraph"/>
        <w:numPr>
          <w:ilvl w:val="0"/>
          <w:numId w:val="2"/>
        </w:numPr>
        <w:spacing w:after="100"/>
      </w:pPr>
      <w:r>
        <w:rPr>
          <w:rFonts w:ascii="Arial" w:cs="Arial" w:eastAsia="Arial" w:hAnsi="Arial"/>
          <w:color w:val="1a1a1a"/>
          <w:sz w:val="21"/>
          <w:szCs w:val="21"/>
        </w:rPr>
        <w:t xml:space="preserve">Analyst submits the file hash to VirusTotal — returns njRAT detection from multiple engines.</w:t>
      </w:r>
    </w:p>
    <w:p>
      <w:pPr>
        <w:pStyle w:val="ListParagraph"/>
        <w:numPr>
          <w:ilvl w:val="0"/>
          <w:numId w:val="2"/>
        </w:numPr>
        <w:spacing w:after="100"/>
      </w:pPr>
      <w:r>
        <w:rPr>
          <w:rFonts w:ascii="Arial" w:cs="Arial" w:eastAsia="Arial" w:hAnsi="Arial"/>
          <w:color w:val="1a1a1a"/>
          <w:sz w:val="21"/>
          <w:szCs w:val="21"/>
        </w:rPr>
        <w:t xml:space="preserve">Escalate to Tier 2 — confirmed malware.</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2.2 Triage Process</w:t>
      </w:r>
    </w:p>
    <w:p>
      <w:pPr>
        <w:spacing w:after="140"/>
      </w:pPr>
      <w:r>
        <w:rPr>
          <w:rFonts w:ascii="Arial" w:cs="Arial" w:eastAsia="Arial" w:hAnsi="Arial"/>
          <w:color w:val="1a1a1a"/>
          <w:sz w:val="21"/>
          <w:szCs w:val="21"/>
        </w:rPr>
        <w:t xml:space="preserve">When any of the above alert sequences fires, the following triage steps determine whether it is a true positive:</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Triage Step</w:t>
            </w:r>
          </w:p>
        </w:tc>
        <w:tc>
          <w:tcPr>
            <w:tcW w:type="dxa" w:w="68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What to check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 Confirm the alert source</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Is the source agent a real endpoint? Is it a production machine or a test system?</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 Check alert context</w:t>
            </w:r>
          </w:p>
        </w:tc>
        <w:tc>
          <w:tcPr>
            <w:tcW w:type="dxa" w:w="6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Is the DNS query for zaaptoo.zapto.org isolated or part of a pattern? Look at the 15 minutes before and after.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 Correlate with FIM</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Was a new file created on the same host in the same time window? Wazuh FIM would show a new .exe in AppData.</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 Check registry</w:t>
            </w:r>
          </w:p>
        </w:tc>
        <w:tc>
          <w:tcPr>
            <w:tcW w:type="dxa" w:w="6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Use Autoruns on the endpoint or query Wazuh for Run key writes — confirm the persistence entry exists.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 File hash lookup</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the suspected njRAT binary and search VirusTotal — detection by YARA rule MALWARE_Win_NjRAT confirms identity.</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 True positive confirmation</w:t>
            </w:r>
          </w:p>
        </w:tc>
        <w:tc>
          <w:tcPr>
            <w:tcW w:type="dxa" w:w="6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DNS query + new file in AppData + Run key write = confirmed njRAT infection. Proceed to Phase 3.</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2.3 IOC and IOA Reference Table</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200"/>
        <w:gridCol w:w="2426"/>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IOC Type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4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8a0675001b5bc63d...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Primary identifier — search in VirusTotal, EDR</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ecc7c8c51c0850c1ec...</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Secondary hash — legacy system lookups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Domain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zaaptoo.zapto.org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beacon domain — DNS query = active infection</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IP</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151.248.115.107</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Dexter C2 — block at perimeter immediately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URI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/gateway.php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Exfiltration endpoint — monitor HTTP POST to this path</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Registry</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HKCU\Software\Microsoft\Windows\CurrentVersion\Run</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Static/Dynamic</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 mechanism — check value data for malware path</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path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AppData\Roaming\[random].exe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32-33</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Common njRAT drop location</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Command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cmd.exe /c ping 127.0.0.1 &amp; del</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Self-deletion after persistence established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Command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netsh firewall delete allowedprogram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 evasion — removes Windows Firewall block</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GetKeyState</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32-33</w:t>
            </w:r>
          </w:p>
        </w:tc>
        <w:tc>
          <w:tcPr>
            <w:tcW w:type="dxa" w:w="2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Keylogging — captures all keystrokes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CreateRemoteThread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32-33</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Process injection into trusted process</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WriteProcessMemory</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32-33</w:t>
            </w:r>
          </w:p>
        </w:tc>
        <w:tc>
          <w:tcPr>
            <w:tcW w:type="dxa" w:w="2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Memory injection payload delivery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Process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iexplore.exe (injected)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32-33</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Dexter injects into Internet Explorer as cover</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Encryption</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TripleDES</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traffic encrypted — network content matching limited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Encoding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Base64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Static/Dynamic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Day 31</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Payload encoding — decode before hash comparison</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2.4 Scope Determination — Checking for Lateral Spread</w:t>
      </w:r>
    </w:p>
    <w:p>
      <w:pPr>
        <w:spacing w:after="140"/>
      </w:pPr>
      <w:r>
        <w:rPr>
          <w:rFonts w:ascii="Arial" w:cs="Arial" w:eastAsia="Arial" w:hAnsi="Arial"/>
          <w:color w:val="1a1a1a"/>
          <w:sz w:val="21"/>
          <w:szCs w:val="21"/>
        </w:rPr>
        <w:t xml:space="preserve">njRAT can propagate through removable media and network shares. After confirming infection on one host, the following checks determine scope:</w:t>
      </w:r>
    </w:p>
    <w:p>
      <w:pPr>
        <w:pStyle w:val="ListParagraph"/>
        <w:numPr>
          <w:ilvl w:val="0"/>
          <w:numId w:val="2"/>
        </w:numPr>
        <w:spacing w:after="100"/>
      </w:pPr>
      <w:r>
        <w:rPr>
          <w:rFonts w:ascii="Arial" w:cs="Arial" w:eastAsia="Arial" w:hAnsi="Arial"/>
          <w:color w:val="1a1a1a"/>
          <w:sz w:val="21"/>
          <w:szCs w:val="21"/>
        </w:rPr>
        <w:t xml:space="preserve">In Wazuh Threat Hunting, run: rule.id: 100014 — lists all hosts that triggered the DNS/domain alert. Any host other than the confirmed infected one is a candidate for lateral spread.</w:t>
      </w:r>
    </w:p>
    <w:p>
      <w:pPr>
        <w:pStyle w:val="ListParagraph"/>
        <w:numPr>
          <w:ilvl w:val="0"/>
          <w:numId w:val="2"/>
        </w:numPr>
        <w:spacing w:after="100"/>
      </w:pPr>
      <w:r>
        <w:rPr>
          <w:rFonts w:ascii="Arial" w:cs="Arial" w:eastAsia="Arial" w:hAnsi="Arial"/>
          <w:color w:val="1a1a1a"/>
          <w:sz w:val="21"/>
          <w:szCs w:val="21"/>
        </w:rPr>
        <w:t xml:space="preserve">Check Suricata alerts across all agents for the same C2 domain or IP in the same time window.</w:t>
      </w:r>
    </w:p>
    <w:p>
      <w:pPr>
        <w:pStyle w:val="ListParagraph"/>
        <w:numPr>
          <w:ilvl w:val="0"/>
          <w:numId w:val="2"/>
        </w:numPr>
        <w:spacing w:after="100"/>
      </w:pPr>
      <w:r>
        <w:rPr>
          <w:rFonts w:ascii="Arial" w:cs="Arial" w:eastAsia="Arial" w:hAnsi="Arial"/>
          <w:color w:val="1a1a1a"/>
          <w:sz w:val="21"/>
          <w:szCs w:val="21"/>
        </w:rPr>
        <w:t xml:space="preserve">In FortiGate Forward Traffic logs, search for connections to zaaptoo.zapto.org or 151.248.115.107 from any source IP.</w:t>
      </w:r>
    </w:p>
    <w:p>
      <w:pPr>
        <w:pStyle w:val="ListParagraph"/>
        <w:numPr>
          <w:ilvl w:val="0"/>
          <w:numId w:val="2"/>
        </w:numPr>
        <w:spacing w:after="100"/>
      </w:pPr>
      <w:r>
        <w:rPr>
          <w:rFonts w:ascii="Arial" w:cs="Arial" w:eastAsia="Arial" w:hAnsi="Arial"/>
          <w:color w:val="1a1a1a"/>
          <w:sz w:val="21"/>
          <w:szCs w:val="21"/>
        </w:rPr>
        <w:t xml:space="preserve">On each Windows agent, check the Run registry key remotely or via Wazuh FIM alerts for new entries in the same time window.</w:t>
      </w:r>
    </w:p>
    <w:p>
      <w:pPr>
        <w:pStyle w:val="ListParagraph"/>
        <w:numPr>
          <w:ilvl w:val="0"/>
          <w:numId w:val="2"/>
        </w:numPr>
        <w:spacing w:after="100"/>
      </w:pPr>
      <w:r>
        <w:rPr>
          <w:rFonts w:ascii="Arial" w:cs="Arial" w:eastAsia="Arial" w:hAnsi="Arial"/>
          <w:color w:val="1a1a1a"/>
          <w:sz w:val="21"/>
          <w:szCs w:val="21"/>
        </w:rPr>
        <w:t xml:space="preserve">Any host showing the same C2 DNS query AND a new Run key entry is confirmed infected and must be isolated.</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Phase 3 — Containment, Eradication &amp; Recovery</w:t>
      </w:r>
    </w:p>
    <w:p>
      <w:pPr>
        <w:pStyle w:val="Heading2"/>
        <w:spacing w:after="120" w:before="220"/>
      </w:pPr>
      <w:r>
        <w:rPr>
          <w:rFonts w:ascii="Arial" w:cs="Arial" w:eastAsia="Arial" w:hAnsi="Arial"/>
          <w:b/>
          <w:bCs/>
          <w:color w:val="2e6da4"/>
          <w:sz w:val="23"/>
          <w:szCs w:val="23"/>
        </w:rPr>
        <w:t xml:space="preserve">3.1 Containment — Without Destroying Volatile Evidence</w:t>
      </w:r>
    </w:p>
    <w:p>
      <w:pPr>
        <w:spacing w:after="140"/>
      </w:pPr>
      <w:r>
        <w:rPr>
          <w:rFonts w:ascii="Arial" w:cs="Arial" w:eastAsia="Arial" w:hAnsi="Arial"/>
          <w:color w:val="1a1a1a"/>
          <w:sz w:val="21"/>
          <w:szCs w:val="21"/>
        </w:rPr>
        <w:t xml:space="preserve">The infected machine must be isolated from the network immediately but volatile evidence — active processes, network connections, memory contents — must be captured before shutdown. Pulling the network cable or powering off first destroys this evidence.</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6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 Capture volatile data first</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 the infected machine run: netstat -ano &gt; connections.txt and tasklist &gt; processes.txt before any network isolation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 Screenshot active connections</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Note all established TCP connections — the C2 IP:port combination confirms active communication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 Isolate at the firewall</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 FortiGate: create a new policy blocking all inbound/outbound traffic from the infected host IP — do this before touching the machine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 Block C2 at perimeter</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Add a FortiGate rule blocking all traffic to/from 151.248.115.107 and a DNS block for zaaptoo.zapto.org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 Disable network adapter</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After firewall isolation is confirmed — disable the network adapter on the endpoint to complete isolation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 Do NOT reboot yet</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Rebooting clears process memory and active connection data. Investigate first.</w:t>
            </w:r>
          </w:p>
        </w:tc>
      </w:tr>
    </w:tbl>
    <w:p>
      <w:pPr>
        <w:spacing w:after="120"/>
      </w:pPr>
      <w:r>
        <w:rPr>
          <w:rFonts w:ascii="Arial" w:cs="Arial" w:eastAsia="Arial" w:hAnsi="Arial"/>
          <w:color w:val="1a1a1a"/>
          <w:sz w:val="21"/>
          <w:szCs w:val="21"/>
        </w:rPr>
        <w:t xml:space="preserve"/>
      </w:r>
    </w:p>
    <w:p>
      <w:pPr>
        <w:pBdr>
          <w:left w:val="single" w:color="c62828" w:sz="10"/>
        </w:pBdr>
        <w:shd w:fill="ffebee" w:val="clear"/>
        <w:spacing w:after="140" w:before="80"/>
      </w:pPr>
      <w:r>
        <w:rPr>
          <w:rFonts w:ascii="Arial" w:cs="Arial" w:eastAsia="Arial" w:hAnsi="Arial"/>
          <w:b/>
          <w:bCs/>
          <w:color w:val="c62828"/>
          <w:sz w:val="21"/>
          <w:szCs w:val="21"/>
        </w:rPr>
        <w:t xml:space="preserve">CRITICAL: </w:t>
      </w:r>
      <w:r>
        <w:rPr>
          <w:rFonts w:ascii="Arial" w:cs="Arial" w:eastAsia="Arial" w:hAnsi="Arial"/>
          <w:color w:val="7f0000"/>
          <w:sz w:val="21"/>
          <w:szCs w:val="21"/>
        </w:rPr>
        <w:t xml:space="preserve">Do not power off or reboot the infected machine before capturing volatile data. The active network connection to the C2 server, the injected process in memory, and the decrypted payload in RAM are all lost on reboot.</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3.2 Eradication — Specific Steps from Analysis</w:t>
      </w:r>
    </w:p>
    <w:p>
      <w:pPr>
        <w:spacing w:after="140"/>
      </w:pPr>
      <w:r>
        <w:rPr>
          <w:rFonts w:ascii="Arial" w:cs="Arial" w:eastAsia="Arial" w:hAnsi="Arial"/>
          <w:color w:val="1a1a1a"/>
          <w:sz w:val="21"/>
          <w:szCs w:val="21"/>
        </w:rPr>
        <w:t xml:space="preserve">Every step below is derived directly from the njRAT behaviour observed in static and dynamic analysis. These are not generic recommendations — they are specific to what this sample does.</w:t>
      </w:r>
    </w:p>
    <w:p>
      <w:pPr>
        <w:spacing w:after="80" w:before="160"/>
      </w:pPr>
      <w:r>
        <w:rPr>
          <w:rFonts w:ascii="Arial" w:cs="Arial" w:eastAsia="Arial" w:hAnsi="Arial"/>
          <w:b/>
          <w:bCs/>
          <w:color w:val="00695c"/>
          <w:sz w:val="21"/>
          <w:szCs w:val="21"/>
        </w:rPr>
        <w:t xml:space="preserve">Step 1 — Kill the malicious process</w:t>
      </w:r>
    </w:p>
    <w:p>
      <w:pPr>
        <w:pBdr>
          <w:left w:val="single" w:color="2e6da4" w:sz="8"/>
        </w:pBdr>
        <w:shd w:fill="F4F4F4" w:val="clear"/>
        <w:spacing w:after="30" w:before="30"/>
      </w:pPr>
      <w:r>
        <w:rPr>
          <w:rFonts w:ascii="Courier New" w:cs="Courier New" w:eastAsia="Courier New" w:hAnsi="Courier New"/>
          <w:color w:val="2e7d32"/>
          <w:sz w:val="18"/>
          <w:szCs w:val="18"/>
        </w:rPr>
        <w:t xml:space="preserve">taskkill /F /PID [njRAT PID from tasklist output]</w:t>
      </w:r>
    </w:p>
    <w:p>
      <w:pPr>
        <w:spacing w:after="140"/>
      </w:pPr>
      <w:r>
        <w:rPr>
          <w:rFonts w:ascii="Arial" w:cs="Arial" w:eastAsia="Arial" w:hAnsi="Arial"/>
          <w:color w:val="1a1a1a"/>
          <w:sz w:val="21"/>
          <w:szCs w:val="21"/>
        </w:rPr>
        <w:t xml:space="preserve">If njRAT has injected into a legitimate process (common behaviour), also terminate the host process:</w:t>
      </w:r>
    </w:p>
    <w:p>
      <w:pPr>
        <w:pBdr>
          <w:left w:val="single" w:color="2e6da4" w:sz="8"/>
        </w:pBdr>
        <w:shd w:fill="F4F4F4" w:val="clear"/>
        <w:spacing w:after="30" w:before="30"/>
      </w:pPr>
      <w:r>
        <w:rPr>
          <w:rFonts w:ascii="Courier New" w:cs="Courier New" w:eastAsia="Courier New" w:hAnsi="Courier New"/>
          <w:color w:val="2e7d32"/>
          <w:sz w:val="18"/>
          <w:szCs w:val="18"/>
        </w:rPr>
        <w:t xml:space="preserve">taskkill /F /IM iexplore.exe</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Step 2 — Remove persistence from registry</w:t>
      </w:r>
    </w:p>
    <w:p>
      <w:pPr>
        <w:spacing w:after="140"/>
      </w:pPr>
      <w:r>
        <w:rPr>
          <w:rFonts w:ascii="Arial" w:cs="Arial" w:eastAsia="Arial" w:hAnsi="Arial"/>
          <w:color w:val="1a1a1a"/>
          <w:sz w:val="21"/>
          <w:szCs w:val="21"/>
        </w:rPr>
        <w:t xml:space="preserve">njRAT writes to the Run key under HKCU (current user). Open regedit and navigate to:</w:t>
      </w:r>
    </w:p>
    <w:p>
      <w:pPr>
        <w:pBdr>
          <w:left w:val="single" w:color="2e6da4" w:sz="8"/>
        </w:pBdr>
        <w:shd w:fill="F4F4F4" w:val="clear"/>
        <w:spacing w:after="30" w:before="30"/>
      </w:pPr>
      <w:r>
        <w:rPr>
          <w:rFonts w:ascii="Courier New" w:cs="Courier New" w:eastAsia="Courier New" w:hAnsi="Courier New"/>
          <w:color w:val="2e7d32"/>
          <w:sz w:val="18"/>
          <w:szCs w:val="18"/>
        </w:rPr>
        <w:t xml:space="preserve">HKCU\Software\Microsoft\Windows\CurrentVersion\Run</w:t>
      </w:r>
    </w:p>
    <w:p>
      <w:pPr>
        <w:spacing w:after="140"/>
      </w:pPr>
      <w:r>
        <w:rPr>
          <w:rFonts w:ascii="Arial" w:cs="Arial" w:eastAsia="Arial" w:hAnsi="Arial"/>
          <w:color w:val="1a1a1a"/>
          <w:sz w:val="21"/>
          <w:szCs w:val="21"/>
        </w:rPr>
        <w:t xml:space="preserve">Delete any entry pointing to a file in AppData\Roaming, AppData\Local\Temp, or any path not associated with a known legitimate application. The value name may be randomised — check the data path, not just the name.</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Step 3 — Delete the malware binary</w:t>
      </w:r>
    </w:p>
    <w:p>
      <w:pPr>
        <w:spacing w:after="140"/>
      </w:pPr>
      <w:r>
        <w:rPr>
          <w:rFonts w:ascii="Arial" w:cs="Arial" w:eastAsia="Arial" w:hAnsi="Arial"/>
          <w:color w:val="1a1a1a"/>
          <w:sz w:val="21"/>
          <w:szCs w:val="21"/>
        </w:rPr>
        <w:t xml:space="preserve">Locate the file path from the registry Run key value. Delete it:</w:t>
      </w:r>
    </w:p>
    <w:p>
      <w:pPr>
        <w:pBdr>
          <w:left w:val="single" w:color="2e6da4" w:sz="8"/>
        </w:pBdr>
        <w:shd w:fill="F4F4F4" w:val="clear"/>
        <w:spacing w:after="30" w:before="30"/>
      </w:pPr>
      <w:r>
        <w:rPr>
          <w:rFonts w:ascii="Courier New" w:cs="Courier New" w:eastAsia="Courier New" w:hAnsi="Courier New"/>
          <w:color w:val="2e7d32"/>
          <w:sz w:val="18"/>
          <w:szCs w:val="18"/>
        </w:rPr>
        <w:t xml:space="preserve">del /F /Q C:\Users\[username]\AppData\Roaming\[malware].exe</w:t>
      </w:r>
    </w:p>
    <w:p>
      <w:pPr>
        <w:spacing w:after="140"/>
      </w:pPr>
      <w:r>
        <w:rPr>
          <w:rFonts w:ascii="Arial" w:cs="Arial" w:eastAsia="Arial" w:hAnsi="Arial"/>
          <w:color w:val="1a1a1a"/>
          <w:sz w:val="21"/>
          <w:szCs w:val="21"/>
        </w:rPr>
        <w:t xml:space="preserve">Also check for copies in:</w:t>
      </w:r>
    </w:p>
    <w:p>
      <w:pPr>
        <w:pBdr>
          <w:left w:val="single" w:color="2e6da4" w:sz="8"/>
        </w:pBdr>
        <w:shd w:fill="F4F4F4" w:val="clear"/>
        <w:spacing w:after="30" w:before="30"/>
      </w:pPr>
      <w:r>
        <w:rPr>
          <w:rFonts w:ascii="Courier New" w:cs="Courier New" w:eastAsia="Courier New" w:hAnsi="Courier New"/>
          <w:color w:val="2e7d32"/>
          <w:sz w:val="18"/>
          <w:szCs w:val="18"/>
        </w:rPr>
        <w:t xml:space="preserve">C:\Users\[username]\AppData\Local\Temp\</w:t>
      </w:r>
    </w:p>
    <w:p>
      <w:pPr>
        <w:pBdr>
          <w:left w:val="single" w:color="2e6da4" w:sz="8"/>
        </w:pBdr>
        <w:shd w:fill="F4F4F4" w:val="clear"/>
        <w:spacing w:after="30" w:before="30"/>
      </w:pPr>
      <w:r>
        <w:rPr>
          <w:rFonts w:ascii="Courier New" w:cs="Courier New" w:eastAsia="Courier New" w:hAnsi="Courier New"/>
          <w:color w:val="2e7d32"/>
          <w:sz w:val="18"/>
          <w:szCs w:val="18"/>
        </w:rPr>
        <w:t xml:space="preserve">C:\Windows\Temp\</w:t>
      </w:r>
    </w:p>
    <w:p>
      <w:pPr>
        <w:pBdr>
          <w:left w:val="single" w:color="2e6da4" w:sz="8"/>
        </w:pBdr>
        <w:shd w:fill="F4F4F4" w:val="clear"/>
        <w:spacing w:after="30" w:before="30"/>
      </w:pPr>
      <w:r>
        <w:rPr>
          <w:rFonts w:ascii="Courier New" w:cs="Courier New" w:eastAsia="Courier New" w:hAnsi="Courier New"/>
          <w:color w:val="2e7d32"/>
          <w:sz w:val="18"/>
          <w:szCs w:val="18"/>
        </w:rPr>
        <w:t xml:space="preserve">C:\ProgramData\</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Step 4 — Restore firewall rules</w:t>
      </w:r>
    </w:p>
    <w:p>
      <w:pPr>
        <w:spacing w:after="140"/>
      </w:pPr>
      <w:r>
        <w:rPr>
          <w:rFonts w:ascii="Arial" w:cs="Arial" w:eastAsia="Arial" w:hAnsi="Arial"/>
          <w:color w:val="1a1a1a"/>
          <w:sz w:val="21"/>
          <w:szCs w:val="21"/>
        </w:rPr>
        <w:t xml:space="preserve">njRAT uses netsh to delete firewall rules that block it. Verify the Windows Firewall is enabled and that no unexpected rules were added or removed:</w:t>
      </w:r>
    </w:p>
    <w:p>
      <w:pPr>
        <w:pBdr>
          <w:left w:val="single" w:color="2e6da4" w:sz="8"/>
        </w:pBdr>
        <w:shd w:fill="F4F4F4" w:val="clear"/>
        <w:spacing w:after="30" w:before="30"/>
      </w:pPr>
      <w:r>
        <w:rPr>
          <w:rFonts w:ascii="Courier New" w:cs="Courier New" w:eastAsia="Courier New" w:hAnsi="Courier New"/>
          <w:color w:val="2e7d32"/>
          <w:sz w:val="18"/>
          <w:szCs w:val="18"/>
        </w:rPr>
        <w:t xml:space="preserve">netsh advfirewall show allprofiles</w:t>
      </w:r>
    </w:p>
    <w:p>
      <w:pPr>
        <w:pBdr>
          <w:left w:val="single" w:color="2e6da4" w:sz="8"/>
        </w:pBdr>
        <w:shd w:fill="F4F4F4" w:val="clear"/>
        <w:spacing w:after="30" w:before="30"/>
      </w:pPr>
      <w:r>
        <w:rPr>
          <w:rFonts w:ascii="Courier New" w:cs="Courier New" w:eastAsia="Courier New" w:hAnsi="Courier New"/>
          <w:color w:val="2e7d32"/>
          <w:sz w:val="18"/>
          <w:szCs w:val="18"/>
        </w:rPr>
        <w:t xml:space="preserve">netsh advfirewall firewall show rule name=all</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Step 5 — Check for keylogger artefacts</w:t>
      </w:r>
    </w:p>
    <w:p>
      <w:pPr>
        <w:spacing w:after="140"/>
      </w:pPr>
      <w:r>
        <w:rPr>
          <w:rFonts w:ascii="Arial" w:cs="Arial" w:eastAsia="Arial" w:hAnsi="Arial"/>
          <w:color w:val="1a1a1a"/>
          <w:sz w:val="21"/>
          <w:szCs w:val="21"/>
        </w:rPr>
        <w:t xml:space="preserve">njRAT captures keystrokes and may write them to a local log file before exfiltration. Search for log files in:</w:t>
      </w:r>
    </w:p>
    <w:p>
      <w:pPr>
        <w:pBdr>
          <w:left w:val="single" w:color="2e6da4" w:sz="8"/>
        </w:pBdr>
        <w:shd w:fill="F4F4F4" w:val="clear"/>
        <w:spacing w:after="30" w:before="30"/>
      </w:pPr>
      <w:r>
        <w:rPr>
          <w:rFonts w:ascii="Courier New" w:cs="Courier New" w:eastAsia="Courier New" w:hAnsi="Courier New"/>
          <w:color w:val="2e7d32"/>
          <w:sz w:val="18"/>
          <w:szCs w:val="18"/>
        </w:rPr>
        <w:t xml:space="preserve">C:\Users\[username]\AppData\Roaming\</w:t>
      </w:r>
    </w:p>
    <w:p>
      <w:pPr>
        <w:pBdr>
          <w:left w:val="single" w:color="2e6da4" w:sz="8"/>
        </w:pBdr>
        <w:shd w:fill="F4F4F4" w:val="clear"/>
        <w:spacing w:after="30" w:before="30"/>
      </w:pPr>
      <w:r>
        <w:rPr>
          <w:rFonts w:ascii="Courier New" w:cs="Courier New" w:eastAsia="Courier New" w:hAnsi="Courier New"/>
          <w:color w:val="2e7d32"/>
          <w:sz w:val="18"/>
          <w:szCs w:val="18"/>
        </w:rPr>
        <w:t xml:space="preserve">C:\Users\[username]\Documents\</w:t>
      </w:r>
    </w:p>
    <w:p>
      <w:pPr>
        <w:spacing w:after="140"/>
      </w:pPr>
      <w:r>
        <w:rPr>
          <w:rFonts w:ascii="Arial" w:cs="Arial" w:eastAsia="Arial" w:hAnsi="Arial"/>
          <w:color w:val="1a1a1a"/>
          <w:sz w:val="21"/>
          <w:szCs w:val="21"/>
        </w:rPr>
        <w:t xml:space="preserve">Any file with a .dat, .log, or .txt extension created in the infection time window should be treated as potentially containing captured credentials.</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3.3 Verification That Eradication Is Complete</w:t>
      </w:r>
    </w:p>
    <w:p>
      <w:pPr>
        <w:pStyle w:val="ListParagraph"/>
        <w:numPr>
          <w:ilvl w:val="0"/>
          <w:numId w:val="2"/>
        </w:numPr>
        <w:spacing w:after="100"/>
      </w:pPr>
      <w:r>
        <w:rPr>
          <w:rFonts w:ascii="Arial" w:cs="Arial" w:eastAsia="Arial" w:hAnsi="Arial"/>
          <w:color w:val="1a1a1a"/>
          <w:sz w:val="21"/>
          <w:szCs w:val="21"/>
        </w:rPr>
        <w:t xml:space="preserve">Run Autoruns (Sysinternals) on the cleaned machine — confirm no unknown entries in the Logon tab.</w:t>
      </w:r>
    </w:p>
    <w:p>
      <w:pPr>
        <w:pStyle w:val="ListParagraph"/>
        <w:numPr>
          <w:ilvl w:val="0"/>
          <w:numId w:val="2"/>
        </w:numPr>
        <w:spacing w:after="100"/>
      </w:pPr>
      <w:r>
        <w:rPr>
          <w:rFonts w:ascii="Arial" w:cs="Arial" w:eastAsia="Arial" w:hAnsi="Arial"/>
          <w:color w:val="1a1a1a"/>
          <w:sz w:val="21"/>
          <w:szCs w:val="21"/>
        </w:rPr>
        <w:t xml:space="preserve">Run the SHA256 hash of any remaining suspicious files against VirusTotal — all should return clean.</w:t>
      </w:r>
    </w:p>
    <w:p>
      <w:pPr>
        <w:pStyle w:val="ListParagraph"/>
        <w:numPr>
          <w:ilvl w:val="0"/>
          <w:numId w:val="2"/>
        </w:numPr>
        <w:spacing w:after="100"/>
      </w:pPr>
      <w:r>
        <w:rPr>
          <w:rFonts w:ascii="Arial" w:cs="Arial" w:eastAsia="Arial" w:hAnsi="Arial"/>
          <w:color w:val="1a1a1a"/>
          <w:sz w:val="21"/>
          <w:szCs w:val="21"/>
        </w:rPr>
        <w:t xml:space="preserve">Monitor Wazuh for 24 hours post-cleanup — Rule 100012 (Run key write) and Suricata SID 100014 (C2 DNS) must not fire.</w:t>
      </w:r>
    </w:p>
    <w:p>
      <w:pPr>
        <w:pStyle w:val="ListParagraph"/>
        <w:numPr>
          <w:ilvl w:val="0"/>
          <w:numId w:val="2"/>
        </w:numPr>
        <w:spacing w:after="100"/>
      </w:pPr>
      <w:r>
        <w:rPr>
          <w:rFonts w:ascii="Arial" w:cs="Arial" w:eastAsia="Arial" w:hAnsi="Arial"/>
          <w:color w:val="1a1a1a"/>
          <w:sz w:val="21"/>
          <w:szCs w:val="21"/>
        </w:rPr>
        <w:t xml:space="preserve">Check FortiGate Forward Traffic logs — no outbound connections to zaaptoo.zapto.org or 151.248.115.107.</w:t>
      </w:r>
    </w:p>
    <w:p>
      <w:pPr>
        <w:pStyle w:val="ListParagraph"/>
        <w:numPr>
          <w:ilvl w:val="0"/>
          <w:numId w:val="2"/>
        </w:numPr>
        <w:spacing w:after="100"/>
      </w:pPr>
      <w:r>
        <w:rPr>
          <w:rFonts w:ascii="Arial" w:cs="Arial" w:eastAsia="Arial" w:hAnsi="Arial"/>
          <w:color w:val="1a1a1a"/>
          <w:sz w:val="21"/>
          <w:szCs w:val="21"/>
        </w:rPr>
        <w:t xml:space="preserve">If the endpoint has a Wazuh agent, check that FIM alerts are not showing new .exe files appearing in AppData after cleanup.</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3.4 Recovery</w:t>
      </w:r>
    </w:p>
    <w:p>
      <w:pPr>
        <w:pStyle w:val="ListParagraph"/>
        <w:numPr>
          <w:ilvl w:val="0"/>
          <w:numId w:val="2"/>
        </w:numPr>
        <w:spacing w:after="100"/>
      </w:pPr>
      <w:r>
        <w:rPr>
          <w:rFonts w:ascii="Arial" w:cs="Arial" w:eastAsia="Arial" w:hAnsi="Arial"/>
          <w:color w:val="1a1a1a"/>
          <w:sz w:val="21"/>
          <w:szCs w:val="21"/>
        </w:rPr>
        <w:t xml:space="preserve">If credential theft is confirmed from keylogger artefacts — force password reset for all accounts that were active on the infected machine during the infection window.</w:t>
      </w:r>
    </w:p>
    <w:p>
      <w:pPr>
        <w:pStyle w:val="ListParagraph"/>
        <w:numPr>
          <w:ilvl w:val="0"/>
          <w:numId w:val="2"/>
        </w:numPr>
        <w:spacing w:after="100"/>
      </w:pPr>
      <w:r>
        <w:rPr>
          <w:rFonts w:ascii="Arial" w:cs="Arial" w:eastAsia="Arial" w:hAnsi="Arial"/>
          <w:color w:val="1a1a1a"/>
          <w:sz w:val="21"/>
          <w:szCs w:val="21"/>
        </w:rPr>
        <w:t xml:space="preserve">Restore the machine from a known-good snapshot or baseline image if one exists from before the infection date.</w:t>
      </w:r>
    </w:p>
    <w:p>
      <w:pPr>
        <w:pStyle w:val="ListParagraph"/>
        <w:numPr>
          <w:ilvl w:val="0"/>
          <w:numId w:val="2"/>
        </w:numPr>
        <w:spacing w:after="100"/>
      </w:pPr>
      <w:r>
        <w:rPr>
          <w:rFonts w:ascii="Arial" w:cs="Arial" w:eastAsia="Arial" w:hAnsi="Arial"/>
          <w:color w:val="1a1a1a"/>
          <w:sz w:val="21"/>
          <w:szCs w:val="21"/>
        </w:rPr>
        <w:t xml:space="preserve">If no snapshot is available — perform a clean Windows reinstall rather than trusting an imperfectly cleaned system.</w:t>
      </w:r>
    </w:p>
    <w:p>
      <w:pPr>
        <w:pStyle w:val="ListParagraph"/>
        <w:numPr>
          <w:ilvl w:val="0"/>
          <w:numId w:val="2"/>
        </w:numPr>
        <w:spacing w:after="100"/>
      </w:pPr>
      <w:r>
        <w:rPr>
          <w:rFonts w:ascii="Arial" w:cs="Arial" w:eastAsia="Arial" w:hAnsi="Arial"/>
          <w:color w:val="1a1a1a"/>
          <w:sz w:val="21"/>
          <w:szCs w:val="21"/>
        </w:rPr>
        <w:t xml:space="preserve">Reconnect to the network only after eradication verification is complete and confirmed by a second analyst.</w:t>
      </w:r>
    </w:p>
    <w:p>
      <w:pPr>
        <w:pStyle w:val="ListParagraph"/>
        <w:numPr>
          <w:ilvl w:val="0"/>
          <w:numId w:val="2"/>
        </w:numPr>
        <w:spacing w:after="100"/>
      </w:pPr>
      <w:r>
        <w:rPr>
          <w:rFonts w:ascii="Arial" w:cs="Arial" w:eastAsia="Arial" w:hAnsi="Arial"/>
          <w:color w:val="1a1a1a"/>
          <w:sz w:val="21"/>
          <w:szCs w:val="21"/>
        </w:rPr>
        <w:t xml:space="preserve">Monitor the restored machine intensively for 72 hours — check Wazuh FIM, authentication events, and Suricata network alerts.</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Phase 4 — Post-Incident Activity</w:t>
      </w:r>
    </w:p>
    <w:p>
      <w:pPr>
        <w:pStyle w:val="Heading2"/>
        <w:spacing w:after="120" w:before="220"/>
      </w:pPr>
      <w:r>
        <w:rPr>
          <w:rFonts w:ascii="Arial" w:cs="Arial" w:eastAsia="Arial" w:hAnsi="Arial"/>
          <w:b/>
          <w:bCs/>
          <w:color w:val="2e6da4"/>
          <w:sz w:val="23"/>
          <w:szCs w:val="23"/>
        </w:rPr>
        <w:t xml:space="preserve">4.1 Detection Improvements</w:t>
      </w:r>
    </w:p>
    <w:p>
      <w:pPr>
        <w:pStyle w:val="ListParagraph"/>
        <w:numPr>
          <w:ilvl w:val="0"/>
          <w:numId w:val="3"/>
        </w:numPr>
        <w:spacing w:after="100"/>
      </w:pPr>
      <w:r>
        <w:rPr>
          <w:rFonts w:ascii="Arial" w:cs="Arial" w:eastAsia="Arial" w:hAnsi="Arial"/>
          <w:b/>
          <w:bCs/>
          <w:color w:val="1a1a1a"/>
          <w:sz w:val="21"/>
          <w:szCs w:val="21"/>
        </w:rPr>
        <w:t xml:space="preserve">Add zaaptoo.zapto.org to the FortiGate DNS blocklist permanently — </w:t>
      </w:r>
      <w:r>
        <w:rPr>
          <w:rFonts w:ascii="Arial" w:cs="Arial" w:eastAsia="Arial" w:hAnsi="Arial"/>
          <w:color w:val="1a1a1a"/>
          <w:sz w:val="21"/>
          <w:szCs w:val="21"/>
        </w:rPr>
        <w:t xml:space="preserve">this domain should never be resolvable from any production network.</w:t>
      </w:r>
    </w:p>
    <w:p>
      <w:pPr>
        <w:pStyle w:val="ListParagraph"/>
        <w:numPr>
          <w:ilvl w:val="0"/>
          <w:numId w:val="3"/>
        </w:numPr>
        <w:spacing w:after="100"/>
      </w:pPr>
      <w:r>
        <w:rPr>
          <w:rFonts w:ascii="Arial" w:cs="Arial" w:eastAsia="Arial" w:hAnsi="Arial"/>
          <w:b/>
          <w:bCs/>
          <w:color w:val="1a1a1a"/>
          <w:sz w:val="21"/>
          <w:szCs w:val="21"/>
        </w:rPr>
        <w:t xml:space="preserve">Add 151.248.115.107 to the FortiGate IP blocklist — </w:t>
      </w:r>
      <w:r>
        <w:rPr>
          <w:rFonts w:ascii="Arial" w:cs="Arial" w:eastAsia="Arial" w:hAnsi="Arial"/>
          <w:color w:val="1a1a1a"/>
          <w:sz w:val="21"/>
          <w:szCs w:val="21"/>
        </w:rPr>
        <w:t xml:space="preserve">block inbound and outbound.</w:t>
      </w:r>
    </w:p>
    <w:p>
      <w:pPr>
        <w:pStyle w:val="ListParagraph"/>
        <w:numPr>
          <w:ilvl w:val="0"/>
          <w:numId w:val="3"/>
        </w:numPr>
        <w:spacing w:after="100"/>
      </w:pPr>
      <w:r>
        <w:rPr>
          <w:rFonts w:ascii="Arial" w:cs="Arial" w:eastAsia="Arial" w:hAnsi="Arial"/>
          <w:b/>
          <w:bCs/>
          <w:color w:val="1a1a1a"/>
          <w:sz w:val="21"/>
          <w:szCs w:val="21"/>
        </w:rPr>
        <w:t xml:space="preserve">Deploy the Suricata custom rules (SID 100011–100014) to all network monitoring points — </w:t>
      </w:r>
      <w:r>
        <w:rPr>
          <w:rFonts w:ascii="Arial" w:cs="Arial" w:eastAsia="Arial" w:hAnsi="Arial"/>
          <w:color w:val="1a1a1a"/>
          <w:sz w:val="21"/>
          <w:szCs w:val="21"/>
        </w:rPr>
        <w:t xml:space="preserve">not just the lab Kali interface.</w:t>
      </w:r>
    </w:p>
    <w:p>
      <w:pPr>
        <w:pStyle w:val="ListParagraph"/>
        <w:numPr>
          <w:ilvl w:val="0"/>
          <w:numId w:val="3"/>
        </w:numPr>
        <w:spacing w:after="100"/>
      </w:pPr>
      <w:r>
        <w:rPr>
          <w:rFonts w:ascii="Arial" w:cs="Arial" w:eastAsia="Arial" w:hAnsi="Arial"/>
          <w:b/>
          <w:bCs/>
          <w:color w:val="1a1a1a"/>
          <w:sz w:val="21"/>
          <w:szCs w:val="21"/>
        </w:rPr>
        <w:t xml:space="preserve">Enable Sysmon on all Windows agents — </w:t>
      </w:r>
      <w:r>
        <w:rPr>
          <w:rFonts w:ascii="Arial" w:cs="Arial" w:eastAsia="Arial" w:hAnsi="Arial"/>
          <w:color w:val="1a1a1a"/>
          <w:sz w:val="21"/>
          <w:szCs w:val="21"/>
        </w:rPr>
        <w:t xml:space="preserve">njRAT behaviour (process injection, registry persistence) requires Sysmon Event ID logging to produce reliable Wazuh alerts. The simulated rule tests during Week 5 failed partly because Sysmon was not installed.</w:t>
      </w:r>
    </w:p>
    <w:p>
      <w:pPr>
        <w:pStyle w:val="ListParagraph"/>
        <w:numPr>
          <w:ilvl w:val="0"/>
          <w:numId w:val="3"/>
        </w:numPr>
        <w:spacing w:after="100"/>
      </w:pPr>
      <w:r>
        <w:rPr>
          <w:rFonts w:ascii="Arial" w:cs="Arial" w:eastAsia="Arial" w:hAnsi="Arial"/>
          <w:b/>
          <w:bCs/>
          <w:color w:val="1a1a1a"/>
          <w:sz w:val="21"/>
          <w:szCs w:val="21"/>
        </w:rPr>
        <w:t xml:space="preserve">Add HKCU Run key monitoring to Wazuh Windows agent syscheck — </w:t>
      </w:r>
      <w:r>
        <w:rPr>
          <w:rFonts w:ascii="Arial" w:cs="Arial" w:eastAsia="Arial" w:hAnsi="Arial"/>
          <w:color w:val="1a1a1a"/>
          <w:sz w:val="21"/>
          <w:szCs w:val="21"/>
        </w:rPr>
        <w:t xml:space="preserve">the registry path must be explicitly added to ossec.conf for Wazuh to monitor it.</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4.2 Network Segmentation Improvements</w:t>
      </w:r>
    </w:p>
    <w:p>
      <w:pPr>
        <w:pStyle w:val="ListParagraph"/>
        <w:numPr>
          <w:ilvl w:val="0"/>
          <w:numId w:val="3"/>
        </w:numPr>
        <w:spacing w:after="100"/>
      </w:pPr>
      <w:r>
        <w:rPr>
          <w:rFonts w:ascii="Arial" w:cs="Arial" w:eastAsia="Arial" w:hAnsi="Arial"/>
          <w:b/>
          <w:bCs/>
          <w:color w:val="1a1a1a"/>
          <w:sz w:val="21"/>
          <w:szCs w:val="21"/>
        </w:rPr>
        <w:t xml:space="preserve">Implement DNS filtering — </w:t>
      </w:r>
      <w:r>
        <w:rPr>
          <w:rFonts w:ascii="Arial" w:cs="Arial" w:eastAsia="Arial" w:hAnsi="Arial"/>
          <w:color w:val="1a1a1a"/>
          <w:sz w:val="21"/>
          <w:szCs w:val="21"/>
        </w:rPr>
        <w:t xml:space="preserve">all internal DNS queries should pass through a filtering resolver. Queries for known malicious domains should return NXDOMAIN rather than a real IP.</w:t>
      </w:r>
    </w:p>
    <w:p>
      <w:pPr>
        <w:pStyle w:val="ListParagraph"/>
        <w:numPr>
          <w:ilvl w:val="0"/>
          <w:numId w:val="3"/>
        </w:numPr>
        <w:spacing w:after="100"/>
      </w:pPr>
      <w:r>
        <w:rPr>
          <w:rFonts w:ascii="Arial" w:cs="Arial" w:eastAsia="Arial" w:hAnsi="Arial"/>
          <w:b/>
          <w:bCs/>
          <w:color w:val="1a1a1a"/>
          <w:sz w:val="21"/>
          <w:szCs w:val="21"/>
        </w:rPr>
        <w:t xml:space="preserve">Block outbound traffic on non-standard ports — </w:t>
      </w:r>
      <w:r>
        <w:rPr>
          <w:rFonts w:ascii="Arial" w:cs="Arial" w:eastAsia="Arial" w:hAnsi="Arial"/>
          <w:color w:val="1a1a1a"/>
          <w:sz w:val="21"/>
          <w:szCs w:val="21"/>
        </w:rPr>
        <w:t xml:space="preserve">njRAT uses a configurable port for C2. Default traffic profiles should only allow outbound on 80, 443, and 53. Any other outbound connection should require explicit policy approval.</w:t>
      </w:r>
    </w:p>
    <w:p>
      <w:pPr>
        <w:pStyle w:val="ListParagraph"/>
        <w:numPr>
          <w:ilvl w:val="0"/>
          <w:numId w:val="3"/>
        </w:numPr>
        <w:spacing w:after="100"/>
      </w:pPr>
      <w:r>
        <w:rPr>
          <w:rFonts w:ascii="Arial" w:cs="Arial" w:eastAsia="Arial" w:hAnsi="Arial"/>
          <w:b/>
          <w:bCs/>
          <w:color w:val="1a1a1a"/>
          <w:sz w:val="21"/>
          <w:szCs w:val="21"/>
        </w:rPr>
        <w:t xml:space="preserve">Segment Windows endpoints from Linux servers — </w:t>
      </w:r>
      <w:r>
        <w:rPr>
          <w:rFonts w:ascii="Arial" w:cs="Arial" w:eastAsia="Arial" w:hAnsi="Arial"/>
          <w:color w:val="1a1a1a"/>
          <w:sz w:val="21"/>
          <w:szCs w:val="21"/>
        </w:rPr>
        <w:t xml:space="preserve">lateral movement from a compromised Windows endpoint to the Wazuh Manager or other Linux systems is possible if they are on the same flat network. VLAN separation reduces this risk.</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4.3 Lessons Learned</w:t>
      </w:r>
    </w:p>
    <w:p>
      <w:pPr>
        <w:pStyle w:val="ListParagraph"/>
        <w:numPr>
          <w:ilvl w:val="0"/>
          <w:numId w:val="3"/>
        </w:numPr>
        <w:spacing w:after="100"/>
      </w:pPr>
      <w:r>
        <w:rPr>
          <w:rFonts w:ascii="Arial" w:cs="Arial" w:eastAsia="Arial" w:hAnsi="Arial"/>
          <w:b/>
          <w:bCs/>
          <w:color w:val="1a1a1a"/>
          <w:sz w:val="21"/>
          <w:szCs w:val="21"/>
        </w:rPr>
        <w:t xml:space="preserve">Unicode strings are where the IOCs live — </w:t>
      </w:r>
      <w:r>
        <w:rPr>
          <w:rFonts w:ascii="Arial" w:cs="Arial" w:eastAsia="Arial" w:hAnsi="Arial"/>
          <w:color w:val="1a1a1a"/>
          <w:sz w:val="21"/>
          <w:szCs w:val="21"/>
        </w:rPr>
        <w:t xml:space="preserve">the njRAT C2 domain (zaaptoo.zapto.org), the persistence registry path, and the self-deletion command were all found in the Unicode strings pass, not the ASCII pass. The -el flag is not optional.</w:t>
      </w:r>
    </w:p>
    <w:p>
      <w:pPr>
        <w:pStyle w:val="ListParagraph"/>
        <w:numPr>
          <w:ilvl w:val="0"/>
          <w:numId w:val="3"/>
        </w:numPr>
        <w:spacing w:after="100"/>
      </w:pPr>
      <w:r>
        <w:rPr>
          <w:rFonts w:ascii="Arial" w:cs="Arial" w:eastAsia="Arial" w:hAnsi="Arial"/>
          <w:b/>
          <w:bCs/>
          <w:color w:val="1a1a1a"/>
          <w:sz w:val="21"/>
          <w:szCs w:val="21"/>
        </w:rPr>
        <w:t xml:space="preserve">Dynamic analysis fills the gap static analysis leaves — </w:t>
      </w:r>
      <w:r>
        <w:rPr>
          <w:rFonts w:ascii="Arial" w:cs="Arial" w:eastAsia="Arial" w:hAnsi="Arial"/>
          <w:color w:val="1a1a1a"/>
          <w:sz w:val="21"/>
          <w:szCs w:val="21"/>
        </w:rPr>
        <w:t xml:space="preserve">static analysis identified the capabilities. Dynamic analysis (Hybrid Analysis) confirmed which ones actually executed and produced the process behaviour evidence needed for rule writing.</w:t>
      </w:r>
    </w:p>
    <w:p>
      <w:pPr>
        <w:pStyle w:val="ListParagraph"/>
        <w:numPr>
          <w:ilvl w:val="0"/>
          <w:numId w:val="3"/>
        </w:numPr>
        <w:spacing w:after="100"/>
      </w:pPr>
      <w:r>
        <w:rPr>
          <w:rFonts w:ascii="Arial" w:cs="Arial" w:eastAsia="Arial" w:hAnsi="Arial"/>
          <w:b/>
          <w:bCs/>
          <w:color w:val="1a1a1a"/>
          <w:sz w:val="21"/>
          <w:szCs w:val="21"/>
        </w:rPr>
        <w:t xml:space="preserve">Sysmon is required for reliable Windows host-based detection — </w:t>
      </w:r>
      <w:r>
        <w:rPr>
          <w:rFonts w:ascii="Arial" w:cs="Arial" w:eastAsia="Arial" w:hAnsi="Arial"/>
          <w:color w:val="1a1a1a"/>
          <w:sz w:val="21"/>
          <w:szCs w:val="21"/>
        </w:rPr>
        <w:t xml:space="preserve">without Sysmon, Wazuh's Windows agent telemetry is insufficient to trigger rules based on process creation, registry writes, and injection behaviour. This is a gap that must be closed before production deployment.</w:t>
      </w:r>
    </w:p>
    <w:p>
      <w:pPr>
        <w:pStyle w:val="ListParagraph"/>
        <w:numPr>
          <w:ilvl w:val="0"/>
          <w:numId w:val="3"/>
        </w:numPr>
        <w:spacing w:after="100"/>
      </w:pPr>
      <w:r>
        <w:rPr>
          <w:rFonts w:ascii="Arial" w:cs="Arial" w:eastAsia="Arial" w:hAnsi="Arial"/>
          <w:b/>
          <w:bCs/>
          <w:color w:val="1a1a1a"/>
          <w:sz w:val="21"/>
          <w:szCs w:val="21"/>
        </w:rPr>
        <w:t xml:space="preserve">The PCAP gap is a real operational constraint — </w:t>
      </w:r>
      <w:r>
        <w:rPr>
          <w:rFonts w:ascii="Arial" w:cs="Arial" w:eastAsia="Arial" w:hAnsi="Arial"/>
          <w:color w:val="1a1a1a"/>
          <w:sz w:val="21"/>
          <w:szCs w:val="21"/>
        </w:rPr>
        <w:t xml:space="preserve">the inability to download PCAP files from Hybrid Analysis (free tier limitation) meant Suricata rules could not be tested against replay traffic. In a production environment, a premium sandbox account with PCAP export is necessary for proper signature validation.</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4.4 Documentation to Retain</w:t>
      </w:r>
    </w:p>
    <w:p>
      <w:pPr>
        <w:pStyle w:val="ListParagraph"/>
        <w:numPr>
          <w:ilvl w:val="0"/>
          <w:numId w:val="3"/>
        </w:numPr>
        <w:spacing w:after="100"/>
      </w:pPr>
      <w:r>
        <w:rPr>
          <w:rFonts w:ascii="Arial" w:cs="Arial" w:eastAsia="Arial" w:hAnsi="Arial"/>
          <w:b/>
          <w:bCs/>
          <w:color w:val="1a1a1a"/>
          <w:sz w:val="21"/>
          <w:szCs w:val="21"/>
        </w:rPr>
        <w:t xml:space="preserve">This Incident Response Plan — </w:t>
      </w:r>
      <w:r>
        <w:rPr>
          <w:rFonts w:ascii="Arial" w:cs="Arial" w:eastAsia="Arial" w:hAnsi="Arial"/>
          <w:color w:val="1a1a1a"/>
          <w:sz w:val="21"/>
          <w:szCs w:val="21"/>
        </w:rPr>
        <w:t xml:space="preserve">updated with actual incident timestamps and findings if a real infection occurs.</w:t>
      </w:r>
    </w:p>
    <w:p>
      <w:pPr>
        <w:pStyle w:val="ListParagraph"/>
        <w:numPr>
          <w:ilvl w:val="0"/>
          <w:numId w:val="3"/>
        </w:numPr>
        <w:spacing w:after="100"/>
      </w:pPr>
      <w:r>
        <w:rPr>
          <w:rFonts w:ascii="Arial" w:cs="Arial" w:eastAsia="Arial" w:hAnsi="Arial"/>
          <w:b/>
          <w:bCs/>
          <w:color w:val="1a1a1a"/>
          <w:sz w:val="21"/>
          <w:szCs w:val="21"/>
        </w:rPr>
        <w:t xml:space="preserve">The full IOC table — </w:t>
      </w:r>
      <w:r>
        <w:rPr>
          <w:rFonts w:ascii="Arial" w:cs="Arial" w:eastAsia="Arial" w:hAnsi="Arial"/>
          <w:color w:val="1a1a1a"/>
          <w:sz w:val="21"/>
          <w:szCs w:val="21"/>
        </w:rPr>
        <w:t xml:space="preserve">imported into the SIEM as watchlist entries for continuous monitoring.</w:t>
      </w:r>
    </w:p>
    <w:p>
      <w:pPr>
        <w:pStyle w:val="ListParagraph"/>
        <w:numPr>
          <w:ilvl w:val="0"/>
          <w:numId w:val="3"/>
        </w:numPr>
        <w:spacing w:after="100"/>
      </w:pPr>
      <w:r>
        <w:rPr>
          <w:rFonts w:ascii="Arial" w:cs="Arial" w:eastAsia="Arial" w:hAnsi="Arial"/>
          <w:b/>
          <w:bCs/>
          <w:color w:val="1a1a1a"/>
          <w:sz w:val="21"/>
          <w:szCs w:val="21"/>
        </w:rPr>
        <w:t xml:space="preserve">Hash values for both samples — </w:t>
      </w:r>
      <w:r>
        <w:rPr>
          <w:rFonts w:ascii="Arial" w:cs="Arial" w:eastAsia="Arial" w:hAnsi="Arial"/>
          <w:color w:val="1a1a1a"/>
          <w:sz w:val="21"/>
          <w:szCs w:val="21"/>
        </w:rPr>
        <w:t xml:space="preserve">added to endpoint protection platform block lists.</w:t>
      </w:r>
    </w:p>
    <w:p>
      <w:pPr>
        <w:pStyle w:val="ListParagraph"/>
        <w:numPr>
          <w:ilvl w:val="0"/>
          <w:numId w:val="3"/>
        </w:numPr>
        <w:spacing w:after="100"/>
      </w:pPr>
      <w:r>
        <w:rPr>
          <w:rFonts w:ascii="Arial" w:cs="Arial" w:eastAsia="Arial" w:hAnsi="Arial"/>
          <w:b/>
          <w:bCs/>
          <w:color w:val="1a1a1a"/>
          <w:sz w:val="21"/>
          <w:szCs w:val="21"/>
        </w:rPr>
        <w:t xml:space="preserve">Hybrid Analysis report links — </w:t>
      </w:r>
      <w:r>
        <w:rPr>
          <w:rFonts w:ascii="Arial" w:cs="Arial" w:eastAsia="Arial" w:hAnsi="Arial"/>
          <w:color w:val="1a1a1a"/>
          <w:sz w:val="21"/>
          <w:szCs w:val="21"/>
        </w:rPr>
        <w:t xml:space="preserve">preserved as evidence of pre-incident threat intelligence.</w:t>
      </w:r>
    </w:p>
    <w:p>
      <w:pPr>
        <w:pStyle w:val="ListParagraph"/>
        <w:numPr>
          <w:ilvl w:val="0"/>
          <w:numId w:val="3"/>
        </w:numPr>
        <w:spacing w:after="100"/>
      </w:pPr>
      <w:r>
        <w:rPr>
          <w:rFonts w:ascii="Arial" w:cs="Arial" w:eastAsia="Arial" w:hAnsi="Arial"/>
          <w:b/>
          <w:bCs/>
          <w:color w:val="1a1a1a"/>
          <w:sz w:val="21"/>
          <w:szCs w:val="21"/>
        </w:rPr>
        <w:t xml:space="preserve">All static analysis output files — </w:t>
      </w:r>
      <w:r>
        <w:rPr>
          <w:rFonts w:ascii="Arial" w:cs="Arial" w:eastAsia="Arial" w:hAnsi="Arial"/>
          <w:color w:val="1a1a1a"/>
          <w:sz w:val="21"/>
          <w:szCs w:val="21"/>
        </w:rPr>
        <w:t xml:space="preserve">strings output, exiftool results, binwalk findings — retained as analysis artefacts.</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Simulated Attack Timeline — njRAT Infection</w:t>
      </w:r>
    </w:p>
    <w:p>
      <w:pPr>
        <w:spacing w:after="140"/>
      </w:pPr>
      <w:r>
        <w:rPr>
          <w:rFonts w:ascii="Arial" w:cs="Arial" w:eastAsia="Arial" w:hAnsi="Arial"/>
          <w:color w:val="1a1a1a"/>
          <w:sz w:val="21"/>
          <w:szCs w:val="21"/>
        </w:rPr>
        <w:t xml:space="preserve">The following timeline reconstructs the njRAT infection sequence based on sandbox report observations from Hybrid Analysis and static analysis findings. Timestamps are illustrative — based on the order of execution events observed in the report.</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26"/>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 (T+)</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w:t>
            </w:r>
          </w:p>
        </w:tc>
        <w:tc>
          <w:tcPr>
            <w:tcW w:type="dxa" w:w="5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Analysis Source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Victim executes njRAT.exe — likely delivered via phishing attachment or USB</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Sandbox — process start</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T+00:01</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njRAT.exe queries SystemProcessInformation — enumerates running processes (T1057)</w:t>
            </w:r>
          </w:p>
        </w:tc>
        <w:tc>
          <w:tcPr>
            <w:tcW w:type="dxa" w:w="5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Sandbox — API call: NtQuerySystemInformation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T+00:02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FileTimeToSystemTime called — environment awareness check (T1070.006)</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Sandbox — API call</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T+00:03</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njRAT writes persistence entry to HKCU\...\CurrentVersion\Run</w:t>
            </w:r>
          </w:p>
        </w:tc>
        <w:tc>
          <w:tcPr>
            <w:tcW w:type="dxa" w:w="5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 — confirmed registry path</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T+00:04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netsh firewall delete allowedprogram — removes Windows Firewall block</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 — netsh command found</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T+00:05</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Keylogger activated — GetKeyState called continuously (T1056.001)</w:t>
            </w:r>
          </w:p>
        </w:tc>
        <w:tc>
          <w:tcPr>
            <w:tcW w:type="dxa" w:w="5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Sandbox — API call: GetKeyState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T+00:06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DNS query for zaaptoo.zapto.org — C2 beacon attempt</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 — C2 domain confirmed</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T+00:07</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C2 connection established on configured TCP port — TripleDES encrypted channel</w:t>
            </w:r>
          </w:p>
        </w:tc>
        <w:tc>
          <w:tcPr>
            <w:tcW w:type="dxa" w:w="5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analysis — encryption confirmed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T+00:08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Remote operator receives connection — full control of endpoint established</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Hybrid Analysis — high threat score classification</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T+00:10</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Installer self-deletes: cmd.exe /c ping 127.0.0.1 &amp; del [path]</w:t>
            </w:r>
          </w:p>
        </w:tc>
        <w:tc>
          <w:tcPr>
            <w:tcW w:type="dxa" w:w="5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 — self-deletion command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T+00:15+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Continuous keylog data and system info sent to C2 via encrypted channel</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 — ongoing C2 communication pattern</w:t>
            </w:r>
          </w:p>
        </w:tc>
      </w:tr>
    </w:tbl>
    <w:p>
      <w:pPr>
        <w:spacing w:after="12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Note: </w:t>
      </w:r>
      <w:r>
        <w:rPr>
          <w:rFonts w:ascii="Arial" w:cs="Arial" w:eastAsia="Arial" w:hAnsi="Arial"/>
          <w:color w:val="5d4037"/>
          <w:sz w:val="21"/>
          <w:szCs w:val="21"/>
        </w:rPr>
        <w:t xml:space="preserve">The C2 connection at T+06 to T+07 did not produce network traffic in the sandbox environment, likely because the zaaptoo.zapto.org domain was not resolving at the time of the sandbox run or the C2 infrastructure was offline. The DNS query attempt was confirmed through static strings analysis.</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Consolidated IOC &amp; IOA Quick Reference</w:t>
      </w:r>
    </w:p>
    <w:p>
      <w:pPr>
        <w:spacing w:after="140"/>
      </w:pPr>
      <w:r>
        <w:rPr>
          <w:rFonts w:ascii="Arial" w:cs="Arial" w:eastAsia="Arial" w:hAnsi="Arial"/>
          <w:color w:val="1a1a1a"/>
          <w:sz w:val="21"/>
          <w:szCs w:val="21"/>
        </w:rPr>
        <w:t xml:space="preserve">This table is the single-page lookup artifact for use during an active incident. Every indicator is specific and searchable. Source and significance are included for immediate analyst context.</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1400"/>
        <w:gridCol w:w="2226"/>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 / Pattern</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MITRE</w:t>
            </w:r>
          </w:p>
        </w:tc>
        <w:tc>
          <w:tcPr>
            <w:tcW w:type="dxa" w:w="2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8a0675001b5bc63d8389fc7ed80b4a7b0f9538c744350f00162533519e106426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Block in EDR, flag in SIEM</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ecc7c8c51c0850c1ec247c7fd3602f20</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Secondary lookup hash</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Domain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zaaptoo.zapto.org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T1071</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DNS block at FortiGate + Suricata SID 100014</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IP</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151.248.115.107</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T1071</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Block at FortiGate INPUT/OUTPUT chains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URI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/gateway.php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 strings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T1041</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Monitor HTTP POST — Suricata SID 100012</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Registry</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HKCU\Software\Microsoft\Windows\CurrentVersion\Run</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T1547</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Rule 100012 — investigate value data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path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AppData\Roaming\*.exe (new file)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T1036</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FIM alert — hash and submit to VT</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Command</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cmd.exe /c ping 127.0.0.1 &amp; del</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T1070</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Rule 100011 — self-deletion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Command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netsh firewall delete allowedprogram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T1562</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 firewall evasion attempt</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 call</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GetKeyState (continuous)</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T1056.001</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Rule 100013 — keylogger active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 call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CreateRemoteThread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T1055</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Rule 100014 — process injection</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API call</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WriteProcessMemory</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T1055</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Injection payload delivery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Process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iexplore.exe spawned by malware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Dynamic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T1055.003</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Kill process, check for injected code</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Encryption</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TripleDES C2 channel</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T1573</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Cannot inspect content — detect by destination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HTTP header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Mozilla/4.0 (anomalous)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Static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T1071</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Suricata SID 100013 — legacy UA suspicious</w:t>
            </w:r>
          </w:p>
        </w:tc>
      </w:tr>
    </w:tbl>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2026-04-04T07:51:40.164Z</dcterms:created>
  <dcterms:modified xsi:type="dcterms:W3CDTF">2026-04-04T07:51:40.193Z</dcterms:modified>
</cp:coreProperties>
</file>

<file path=docProps/custom.xml><?xml version="1.0" encoding="utf-8"?>
<Properties xmlns="http://schemas.openxmlformats.org/officeDocument/2006/custom-properties" xmlns:vt="http://schemas.openxmlformats.org/officeDocument/2006/docPropsVTypes"/>
</file>