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color w:val="1F3A68"/>
          <w:sz w:val="44"/>
        </w:rPr>
        <w:t>TABLEAU PROJECT NOTES</w:t>
      </w:r>
    </w:p>
    <w:p>
      <w:pPr>
        <w:jc w:val="center"/>
      </w:pPr>
      <w:r>
        <w:rPr>
          <w:b w:val="0"/>
          <w:i/>
          <w:color w:val="C9A227"/>
          <w:sz w:val="26"/>
        </w:rPr>
        <w:t>Customer Churn Analytics — Subscription SaaS</w:t>
      </w:r>
    </w:p>
    <w:p>
      <w:r>
        <w:rPr>
          <w:b w:val="0"/>
          <w:i w:val="0"/>
          <w:sz w:val="22"/>
        </w:rPr>
      </w:r>
    </w:p>
    <w:p>
      <w:pPr>
        <w:pStyle w:val="Heading1"/>
      </w:pPr>
      <w:r>
        <w:rPr>
          <w:rFonts w:ascii="Calibri" w:hAnsi="Calibri"/>
          <w:color w:val="1F3A68"/>
        </w:rPr>
        <w:t>Project Goal</w:t>
      </w:r>
    </w:p>
    <w:p>
      <w:pPr>
        <w:jc w:val="both"/>
      </w:pPr>
      <w:r>
        <w:rPr>
          <w:b w:val="0"/>
          <w:i w:val="0"/>
          <w:sz w:val="22"/>
        </w:rPr>
        <w:t>Identify the leading indicators of subscription churn for a B2C SaaS client and surface them in a Tableau dashboard accessible to the customer success team.</w:t>
      </w:r>
    </w:p>
    <w:p>
      <w:pPr>
        <w:pStyle w:val="Heading1"/>
      </w:pPr>
      <w:r>
        <w:rPr>
          <w:rFonts w:ascii="Calibri" w:hAnsi="Calibri"/>
          <w:color w:val="1F3A68"/>
        </w:rPr>
        <w:t>Data Pipeline</w:t>
      </w:r>
    </w:p>
    <w:p>
      <w:pPr>
        <w:pStyle w:val="ListBullet"/>
      </w:pPr>
      <w:r>
        <w:t>Stripe export (CSV, daily) — subscriptions, invoices, charges.</w:t>
      </w:r>
    </w:p>
    <w:p>
      <w:pPr>
        <w:pStyle w:val="ListBullet"/>
      </w:pPr>
      <w:r>
        <w:t>Mixpanel export (JSON, daily) — feature events.</w:t>
      </w:r>
    </w:p>
    <w:p>
      <w:pPr>
        <w:pStyle w:val="ListBullet"/>
      </w:pPr>
      <w:r>
        <w:t>Python ETL (pandas) consolidates into a wide weekly fact table.</w:t>
      </w:r>
    </w:p>
    <w:p>
      <w:pPr>
        <w:pStyle w:val="ListBullet"/>
      </w:pPr>
      <w:r>
        <w:t>Tableau Hyper file refreshed nightly via Tableau Bridge.</w:t>
      </w:r>
    </w:p>
    <w:p>
      <w:pPr>
        <w:pStyle w:val="Heading1"/>
      </w:pPr>
      <w:r>
        <w:rPr>
          <w:rFonts w:ascii="Calibri" w:hAnsi="Calibri"/>
          <w:color w:val="1F3A68"/>
        </w:rPr>
        <w:t>Key Visualizations</w:t>
      </w:r>
    </w:p>
    <w:p>
      <w:pPr>
        <w:pStyle w:val="ListBullet"/>
      </w:pPr>
      <w:r>
        <w:t>Cohort retention heatmap (signup month × tenure).</w:t>
      </w:r>
    </w:p>
    <w:p>
      <w:pPr>
        <w:pStyle w:val="ListBullet"/>
      </w:pPr>
      <w:r>
        <w:t>Feature-usage waterfall — top 10 features by usage delta among churners vs. retainers.</w:t>
      </w:r>
    </w:p>
    <w:p>
      <w:pPr>
        <w:pStyle w:val="ListBullet"/>
      </w:pPr>
      <w:r>
        <w:t>Survival curve (Kaplan–Meier) by acquisition channel.</w:t>
      </w:r>
    </w:p>
    <w:p>
      <w:pPr>
        <w:pStyle w:val="ListBullet"/>
      </w:pPr>
      <w:r>
        <w:t>Operational alerts list — accounts in '14-day silence' state.</w:t>
      </w:r>
    </w:p>
    <w:p>
      <w:pPr>
        <w:pStyle w:val="Heading1"/>
      </w:pPr>
      <w:r>
        <w:rPr>
          <w:rFonts w:ascii="Calibri" w:hAnsi="Calibri"/>
          <w:color w:val="1F3A68"/>
        </w:rPr>
        <w:t>Findings</w:t>
      </w:r>
    </w:p>
    <w:p>
      <w:pPr>
        <w:jc w:val="both"/>
      </w:pPr>
      <w:r>
        <w:rPr>
          <w:b w:val="0"/>
          <w:i w:val="0"/>
          <w:sz w:val="22"/>
        </w:rPr>
        <w:t>Two leading indicators emerged: (1) an interaction-frequency drop greater than 60% week-over-week in the first 28 days; (2) failure to use the team-invite feature by day 21. Customer success team built playbooks around both signals, and 90-day retention improved 4.7 percentage points in the following quarter.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